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7698C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3/6/24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7/1/24</w:t>
      </w:r>
      <w:r>
        <w:rPr>
          <w:rFonts w:ascii="Times New Roman" w:hAnsi="Times New Roman"/>
          <w:b w:val="false"/>
          <w:i w:val="false"/>
          <w:color w:val="000000"/>
          <w:sz w:val="10"/>
        </w:rPr>
        <w:t>1</w:t>
      </w:r>
    </w:p>
    <w:p>
      <w:pPr>
        <w:spacing w:before="0" w:after="0"/>
        <w:ind w:left="120"/>
        <w:jc w:val="both"/>
      </w:pP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effective date of </w:t>
      </w:r>
      <w:r>
        <w:rPr>
          <w:rFonts w:ascii="Times New Roman" w:hAnsi="Times New Roman"/>
          <w:b/>
          <w:i w:val="false"/>
          <w:color w:val="000000"/>
          <w:sz w:val="22"/>
        </w:rPr>
        <w:t>ARC 7698C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was corrected to July 1, 2024, in the April 3, 2024, Iowa Administrative Bulletin.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