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COMMUNITY MENTAL HEALTH AND MENTAL RETARDATION SERVICES FUND AND SPECIAL NEEDS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32]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[Prior to 2/11/87, Human Services[498]]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 IAB 5/5/99, effective 7/1/99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MENTAL HEALTH CENTER STANDARDS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 xml:space="preserve">Rescinded 9/29/93 IAB, effective 12/1/93;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14"/>
          </w:rPr>
          <w:t>441—Chapter 24</w:t>
        </w:r>
      </w:hyperlink>
      <w:r>
        <w:rPr>
          <w:rFonts w:ascii="Times New Roman" w:hAnsi="Times New Roman"/>
          <w:b w:val="false"/>
          <w:i w:val="false"/>
          <w:color w:val="000000"/>
          <w:sz w:val="14"/>
        </w:rPr>
        <w:t>, Divisions I, III.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ALTERNATIVE DIAGNOSTIC FACILITIES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8/18/82, Mental Health Advisory Council[566]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34]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9274C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SUPPLEMENTAL EXPENSE PAYMENT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5/5/99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7/1/99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4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