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 xml:space="preserve">The Iowa egg council hereby adopts, with the following exceptions and amendments, rules of the Governor’s Task Force on Uniform Rules of Agency Procedure relating to public records and fair information practices which are published at </w:t>
      </w:r>
      <w:hyperlink r:id="rId5">
        <w:r>
          <w:rPr>
            <w:rStyle w:val="Hyperlink"/>
            <w:rFonts w:ascii="Times New Roman" w:hAnsi="Times New Roman"/>
            <w:b w:val="false"/>
            <w:i w:val="false"/>
            <w:color w:val="000000"/>
            <w:sz w:val="22"/>
            <w:u w:val="single"/>
          </w:rPr>
          <w:t>www.legis.iowa.gov/docs/publications/ACOD/767403.pdf</w:t>
        </w:r>
      </w:hyperlink>
      <w:r>
        <w:rPr>
          <w:rFonts w:ascii="Times New Roman" w:hAnsi="Times New Roman"/>
          <w:b w:val="false"/>
          <w:i w:val="false"/>
          <w:color w:val="000000"/>
          <w:sz w:val="22"/>
        </w:rPr>
        <w:t xml:space="preserve"> on the General Assembly’s website.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4886C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301—5.1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these rules means the Iowa egg council.</w:t>
      </w:r>
    </w:p>
    <w:p>
      <w:pPr>
        <w:spacing w:before="0" w:after="0"/>
        <w:ind w:left="120"/>
        <w:jc w:val="both"/>
      </w:pPr>
      <w:r>
        <w:rPr>
          <w:rFonts w:ascii="Times New Roman" w:hAnsi="Times New Roman"/>
          <w:b/>
          <w:i w:val="false"/>
          <w:color w:val="000000"/>
          <w:sz w:val="22"/>
        </w:rPr>
        <w:t>301—5.3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“executive director”. In lieu of the words “(insert agency name and address)”, insert “Iowa Egg Council, 8515 Douglas Avenue, Suite 9, Urbandale, Iowa 50322”.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hours and, if agency does not have customary office hours of at least thirty hours per week, insert hours specified in Iowa Code section </w:t>
      </w:r>
      <w:hyperlink r:id="rId6">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“(specify time period)”, insert “one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4886C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301—5.6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the words “(designate office)”, insert “Iowa egg council”.</w:t>
      </w:r>
    </w:p>
    <w:p>
      <w:pPr>
        <w:spacing w:before="210" w:after="0"/>
        <w:ind w:left="120"/>
        <w:jc w:val="both"/>
      </w:pPr>
      <w:r>
        <w:rPr>
          <w:rFonts w:ascii="Times New Roman" w:hAnsi="Times New Roman"/>
          <w:b/>
          <w:i w:val="false"/>
          <w:color w:val="000000"/>
          <w:sz w:val="22"/>
        </w:rPr>
        <w:t>301—5.9</w:t>
      </w:r>
      <w:r>
        <w:rPr>
          <w:rFonts w:ascii="Times New Roman" w:hAnsi="Times New Roman"/>
          <w:b/>
          <w:i w:val="false"/>
          <w:color w:val="000000"/>
          <w:sz w:val="22"/>
        </w:rPr>
        <w:t xml:space="preserve">(17A,22) </w:t>
      </w:r>
      <w:r>
        <w:rPr>
          <w:rFonts w:ascii="Times New Roman" w:hAnsi="Times New Roman"/>
          <w:b/>
          <w:i w:val="false"/>
          <w:color w:val="000000"/>
          <w:sz w:val="22"/>
        </w:rPr>
        <w:t xml:space="preserve">Public records; confidential records. </w:t>
      </w:r>
      <w:r>
        <w:rPr>
          <w:rFonts w:ascii="Times New Roman" w:hAnsi="Times New Roman"/>
          <w:b w:val="false"/>
          <w:i w:val="false"/>
          <w:color w:val="000000"/>
          <w:sz w:val="22"/>
        </w:rPr>
        <w:t xml:space="preserve">All records in the possession of the council other than confidential records are public records. The council shall deem to be confidential those categories of records enumerated in Iowa Code section </w:t>
      </w:r>
      <w:hyperlink r:id="rId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which are in its possession.</w:t>
      </w:r>
    </w:p>
    <w:p>
      <w:pPr>
        <w:spacing w:before="0" w:after="0"/>
        <w:ind w:left="120"/>
        <w:jc w:val="both"/>
      </w:pPr>
      <w:r>
        <w:rPr>
          <w:rFonts w:ascii="Times New Roman" w:hAnsi="Times New Roman"/>
          <w:b/>
          <w:i w:val="false"/>
          <w:color w:val="000000"/>
          <w:sz w:val="22"/>
        </w:rPr>
        <w:t>301—5.10</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Agency records include the following personally identifiable information: excise tax remittance in identifying individual producers and the amounts remitted, refund requests from producers, and personal information in confidential personnel records. This information is collected pursuant to the authority of Iowa Code chapter </w:t>
      </w:r>
      <w:hyperlink r:id="rId8">
        <w:r>
          <w:rPr>
            <w:rStyle w:val="Hyperlink"/>
            <w:rFonts w:ascii="Times New Roman" w:hAnsi="Times New Roman"/>
            <w:b w:val="false"/>
            <w:i w:val="false"/>
            <w:color w:val="000000"/>
            <w:sz w:val="22"/>
          </w:rPr>
          <w:t>184</w:t>
        </w:r>
      </w:hyperlink>
      <w:r>
        <w:rPr>
          <w:rFonts w:ascii="Times New Roman" w:hAnsi="Times New Roman"/>
          <w:b w:val="false"/>
          <w:i w:val="false"/>
          <w:color w:val="000000"/>
          <w:sz w:val="22"/>
        </w:rPr>
        <w:t xml:space="preserve"> and is stored in the office files of the council office. Personally identifiable information contained in these records shall be confidential.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4886C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301—5.11</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w:t>
      </w:r>
      <w:r>
        <w:rPr>
          <w:rFonts w:ascii="Times New Roman" w:hAnsi="Times New Roman"/>
          <w:b w:val="false"/>
          <w:i w:val="false"/>
          <w:color w:val="000000"/>
          <w:sz w:val="22"/>
        </w:rPr>
        <w:t>No data processing system collates or permits the comparison of personally identifiable information in one record system with personally identifiable information in another record system.</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9/16/88—published 10/5/88, effective 9/16/88]</w:t>
      </w:r>
    </w:p>
    <w:p>
      <w:pPr>
        <w:spacing w:before="0" w:after="0"/>
        <w:ind w:left="120"/>
        <w:jc w:val="center"/>
      </w:pPr>
      <w:r>
        <w:rPr>
          <w:rFonts w:ascii="Times New Roman" w:hAnsi="Times New Roman"/>
          <w:b w:val="false"/>
          <w:i w:val="false"/>
          <w:color w:val="000000"/>
          <w:sz w:val="21"/>
        </w:rPr>
        <w:t>[Filed 4/14/89, Notice 10/5/88—published 5/3/89, effective 6/7/89]</w:t>
      </w:r>
    </w:p>
    <w:p>
      <w:pPr>
        <w:spacing w:before="0" w:after="0"/>
        <w:ind w:left="120"/>
        <w:jc w:val="center"/>
      </w:pPr>
      <w:r>
        <w:rPr>
          <w:rFonts w:ascii="Times New Roman" w:hAnsi="Times New Roman"/>
          <w:b w:val="false"/>
          <w:i w:val="false"/>
          <w:color w:val="000000"/>
          <w:sz w:val="21"/>
        </w:rPr>
        <w:t>[Filed ARC 4886C</w:t>
      </w:r>
      <w:r>
        <w:rPr>
          <w:rFonts w:ascii="Times New Roman" w:hAnsi="Times New Roman"/>
          <w:b w:val="false"/>
          <w:i w:val="false"/>
          <w:color w:val="000000"/>
          <w:sz w:val="21"/>
        </w:rPr>
        <w:t xml:space="preserve"> (Notice ARC 4783C, IAB 12/4/19)</w:t>
      </w:r>
      <w:r>
        <w:rPr>
          <w:rFonts w:ascii="Times New Roman" w:hAnsi="Times New Roman"/>
          <w:b w:val="false"/>
          <w:i w:val="false"/>
          <w:color w:val="000000"/>
          <w:sz w:val="21"/>
        </w:rPr>
        <w:t>, IAB 1/29/20, effective 3/4/20]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publications/ACOD/767403.pdf" Type="http://schemas.openxmlformats.org/officeDocument/2006/relationships/hyperlink" Id="rId5"/>
    <Relationship TargetMode="External" Target="https://www.legis.iowa.gov/docs/ico/chapter/22.4.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184.pdf" Type="http://schemas.openxmlformats.org/officeDocument/2006/relationships/hyperlink" Id="rId8"/>
    <Relationship TargetMode="External" Target="https://www.legis.iowa.gov/docs/ico/chapter/22.11.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