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FAIR INFORMATION PRACTICES</w:t>
      </w:r>
    </w:p>
    <w:p>
      <w:pPr>
        <w:spacing w:before="0" w:after="0"/>
        <w:ind w:left="120"/>
        <w:jc w:val="center"/>
      </w:pPr>
      <w:r>
        <w:rPr>
          <w:rFonts w:ascii="Times New Roman" w:hAnsi="Times New Roman"/>
          <w:b w:val="false"/>
          <w:i w:val="false"/>
          <w:color w:val="000000"/>
          <w:sz w:val="14"/>
        </w:rPr>
        <w:t>[Prior to 5/18/88, see Higher Education Loan Authority[480], subrule 1.2(5)]</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4/8/31</w:t>
      </w:r>
    </w:p>
    <w:p>
      <w:pPr>
        <w:spacing w:before="0" w:after="0"/>
        <w:ind w:left="120"/>
        <w:jc w:val="both"/>
      </w:pPr>
      <w:r>
        <w:rPr>
          <w:rFonts w:ascii="Times New Roman" w:hAnsi="Times New Roman"/>
          <w:b w:val="false"/>
          <w:i w:val="false"/>
          <w:color w:val="000000"/>
          <w:sz w:val="22"/>
        </w:rPr>
        <w:t xml:space="preserve">The higher education loan authority hereby adopts, with the following exceptions and amendments, the Uniform Rules on Agency Procedure relating to fair information practices,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0108D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284—5.1</w:t>
      </w:r>
      <w:r>
        <w:rPr>
          <w:rFonts w:ascii="Times New Roman" w:hAnsi="Times New Roman"/>
          <w:b/>
          <w:i w:val="false"/>
          <w:color w:val="000000"/>
          <w:sz w:val="22"/>
        </w:rPr>
        <w:t xml:space="preserve">(261A) </w:t>
      </w:r>
      <w:r>
        <w:rPr>
          <w:rFonts w:ascii="Times New Roman" w:hAnsi="Times New Roman"/>
          <w:b/>
          <w:i w:val="false"/>
          <w:color w:val="000000"/>
          <w:sz w:val="22"/>
        </w:rPr>
        <w:t xml:space="preserve">Definition.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means the Iowa higher education loan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0108D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284—5.3</w:t>
      </w:r>
      <w:r>
        <w:rPr>
          <w:rFonts w:ascii="Times New Roman" w:hAnsi="Times New Roman"/>
          <w:b/>
          <w:i w:val="false"/>
          <w:color w:val="000000"/>
          <w:sz w:val="22"/>
        </w:rPr>
        <w:t xml:space="preserve">(261A)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“executive director”, and in lieu of the words “(insert agency name and address)”, insert “Iowa Higher Education Loan Authority at 1105 High Road, Box 214, Norwalk, Iowa 50211”.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Records are made available from 9 a.m. to 12 noon and from 1 p.m. to 4 p.m. 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In lieu of the first sentence, insert “Requests for access to open records may be made in writing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0108D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284—5.6</w:t>
      </w:r>
      <w:r>
        <w:rPr>
          <w:rFonts w:ascii="Times New Roman" w:hAnsi="Times New Roman"/>
          <w:b/>
          <w:i w:val="false"/>
          <w:color w:val="000000"/>
          <w:sz w:val="22"/>
        </w:rPr>
        <w:t xml:space="preserve">(261A)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“Iowa Higher Education Loan Authority, 1105 High Road, Box 214, Norwalk, Iowa 50211”.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0108D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261A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ARC 0108D</w:t>
      </w:r>
      <w:r>
        <w:rPr>
          <w:rFonts w:ascii="Times New Roman" w:hAnsi="Times New Roman"/>
          <w:b w:val="false"/>
          <w:i w:val="false"/>
          <w:color w:val="000000"/>
          <w:sz w:val="21"/>
        </w:rPr>
        <w:t xml:space="preserve"> (Notice ARC 9870C, IAB 12/24/25)</w:t>
      </w:r>
      <w:r>
        <w:rPr>
          <w:rFonts w:ascii="Times New Roman" w:hAnsi="Times New Roman"/>
          <w:b w:val="false"/>
          <w:i w:val="false"/>
          <w:color w:val="000000"/>
          <w:sz w:val="21"/>
        </w:rPr>
        <w:t>, IAB 3/4/26, effective 4/8/26]</w:t>
      </w:r>
    </w:p>
    <w:sectPr>
      <w:footerReference r:id="rId8"/>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17A.24.pdf" Type="http://schemas.openxmlformats.org/officeDocument/2006/relationships/hyperlink" Id="rId6"/>
    <Relationship TargetMode="External" Target="https://www.legis.iowa.gov/docs/ico/chapter/261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