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52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APPROVAL OF EDUCATIONAL INSTITUTIONS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FOR THE EDUCATION AND TRAINING OF ELIGIBLE VETERANS</w:t>
      </w:r>
      <w:r>
        <w:br/>
      </w:r>
      <w:r>
        <w:rPr>
          <w:rFonts w:ascii="Times New Roman" w:hAnsi="Times New Roman"/>
          <w:b w:val="false"/>
          <w:i w:val="false"/>
          <w:color w:val="000000"/>
          <w:sz w:val="21"/>
        </w:rPr>
        <w:t>UNDER THE MONTGOMERY G.I. BILL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25]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7422C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12/27/23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1/31/24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53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and 54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EDUCATIONAL DATA PROCESSING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9/7/88</w:t>
      </w:r>
    </w:p>
    <w:p>
      <w:pPr>
        <w:pBdr>
          <w:bottom w:space="3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16"/>
        </w:rPr>
        <w:t>VOCATIONAL REHABILITATION EDUCATION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6"/>
        </w:rPr>
        <w:t>TITLE XI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VOCATIONAL REHABILITATION SERVICES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9/7/88, see Public Instruction Department[670] Ch 35]</w:t>
      </w:r>
      <w:r>
        <w:br/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Transferred to 877—Chapter 33, IAC Supplement 8/23/23 </w:t>
      </w:r>
    </w:p>
    <w:p>
      <w:pPr>
        <w:spacing w:before="0" w:after="0"/>
        <w:ind w:left="120"/>
        <w:jc w:val="left"/>
      </w:pP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57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