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ICN SUBSIDIZATION REIMBURSEMENT PROCEDURES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12/16/98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1/20/99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and 10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6"/>
        </w:rPr>
        <w:t>TITLE II</w:t>
      </w:r>
    </w:p>
    <w:p>
      <w:pPr>
        <w:pBdr>
          <w:bottom w:space="3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16"/>
        </w:rPr>
        <w:t>ACCREDITED SCHOOLS AND SCHOOL DISTRICTS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UNSAFE SCHOOL CHOICE OPTION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7786C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4/17/24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5/22/24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