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217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RURAL HOUSING NEEDS ASSESSMENT GRANT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 xml:space="preserve">Transferred to 261—Chapter 28, </w:t>
      </w:r>
      <w:r>
        <w:rPr>
          <w:rFonts w:ascii="Times New Roman" w:hAnsi="Times New Roman"/>
          <w:b/>
          <w:i w:val="false"/>
          <w:color w:val="000000"/>
          <w:sz w:val="14"/>
        </w:rPr>
        <w:t>ARC 6892C</w:t>
      </w:r>
      <w:r>
        <w:rPr>
          <w:rFonts w:ascii="Times New Roman" w:hAnsi="Times New Roman"/>
          <w:b w:val="false"/>
          <w:i w:val="false"/>
          <w:color w:val="000000"/>
          <w:sz w:val="14"/>
        </w:rPr>
        <w:t>, IAB 02/22/23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RURAL INNOVATION GRANT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 xml:space="preserve">Transferred to 261—Chapter 29, </w:t>
      </w:r>
      <w:r>
        <w:rPr>
          <w:rFonts w:ascii="Times New Roman" w:hAnsi="Times New Roman"/>
          <w:b/>
          <w:i w:val="false"/>
          <w:color w:val="000000"/>
          <w:sz w:val="14"/>
        </w:rPr>
        <w:t>ARC 6892C</w:t>
      </w:r>
      <w:r>
        <w:rPr>
          <w:rFonts w:ascii="Times New Roman" w:hAnsi="Times New Roman"/>
          <w:b w:val="false"/>
          <w:i w:val="false"/>
          <w:color w:val="000000"/>
          <w:sz w:val="14"/>
        </w:rPr>
        <w:t>, IAB 02/22/23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EMPOWER RURAL IOWA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 xml:space="preserve">Transferred to 261—Chapter 30, </w:t>
      </w:r>
      <w:r>
        <w:rPr>
          <w:rFonts w:ascii="Times New Roman" w:hAnsi="Times New Roman"/>
          <w:b/>
          <w:i w:val="false"/>
          <w:color w:val="000000"/>
          <w:sz w:val="14"/>
        </w:rPr>
        <w:t>ARC 6892C</w:t>
      </w:r>
      <w:r>
        <w:rPr>
          <w:rFonts w:ascii="Times New Roman" w:hAnsi="Times New Roman"/>
          <w:b w:val="false"/>
          <w:i w:val="false"/>
          <w:color w:val="000000"/>
          <w:sz w:val="14"/>
        </w:rPr>
        <w:t>, IAB 02/22/23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223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