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ENVIRONMENTAL LAW COMPLIANCE; VIOLATIONS OF LAW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[IAB 7/4/07, 261—Ch 172 renumbered as 261—Ch 198]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7/4/07, see 261—Ch 168, div II]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STANDARD DEFINITIONS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[IAB 7/4/07, 261—Ch 173 renumbered as 261—Ch 199]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7/4/07, see 261—Ch 168, div V]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WAGE, BENEFIT, AND INVESTMENT REQUIREMENTS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7/4/07, see 261—Ch 168, div IV]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APPLICATION REVIEW AND APPROVAL PROCEDURES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176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186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PART VIII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  <w:r>
        <w:rPr>
          <w:rFonts w:ascii="Times New Roman" w:hAnsi="Times New Roman"/>
          <w:b w:val="false"/>
          <w:i/>
          <w:color w:val="000000"/>
          <w:sz w:val="16"/>
        </w:rPr>
        <w:t>LEGAL AND COMPLIANCE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 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CONTRACTING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7/4/07, see 261—Ch 168, div VI]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CONTRACT COMPLIANCE AND JOB COUNTING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ANNUAL REPORTING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8145C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7/24/24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8/28/24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190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194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