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 xml:space="preserve">GROUNDS FOR DISCIPLINE, DISCIPLINARY INVESTIGATIONS, </w:t>
      </w:r>
      <w:r>
        <w:br/>
      </w:r>
      <w:r>
        <w:rPr>
          <w:rFonts w:ascii="Times New Roman" w:hAnsi="Times New Roman"/>
          <w:b w:val="false"/>
          <w:i w:val="false"/>
          <w:color w:val="000000"/>
          <w:sz w:val="21"/>
        </w:rPr>
        <w:t>AND DISCIPLINARY PROCEEDINGS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193G—5.1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initiate disciplinary action against a registered interior designer on any of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violation of any of the rules of professional conduct set forth in </w:t>
      </w:r>
      <w:hyperlink r:id="rId5">
        <w:r>
          <w:rPr>
            <w:rStyle w:val="Hyperlink"/>
            <w:rFonts w:ascii="Times New Roman" w:hAnsi="Times New Roman"/>
            <w:b w:val="false"/>
            <w:i w:val="false"/>
            <w:color w:val="000000"/>
            <w:sz w:val="22"/>
          </w:rPr>
          <w:t>193G—Chapter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violation of Iowa Code section </w:t>
      </w:r>
      <w:hyperlink r:id="rId6">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or 272C.9(3).</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comply with an order of the board imposing discipline.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Continuing to practice as a registered interior designer without satisfying the continuing education requirement, absent express waiver granted by the board.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fully cooperate with a registrant disciplinary investigation or investigation against a nonregistrant, including failure to respond to a board inquiry within 30 calendar days of the date of mailing by certified mail of a written communication directed to the registrant’s last address on file at the board office.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violation of Iowa Code section </w:t>
      </w:r>
      <w:hyperlink r:id="rId7">
        <w:r>
          <w:rPr>
            <w:rStyle w:val="Hyperlink"/>
            <w:rFonts w:ascii="Times New Roman" w:hAnsi="Times New Roman"/>
            <w:b w:val="false"/>
            <w:i w:val="false"/>
            <w:color w:val="000000"/>
            <w:sz w:val="22"/>
          </w:rPr>
          <w:t>544C.9</w:t>
        </w:r>
      </w:hyperlink>
      <w:r>
        <w:rPr>
          <w:rFonts w:ascii="Times New Roman" w:hAnsi="Times New Roman"/>
          <w:b w:val="false"/>
          <w:i w:val="false"/>
          <w:color w:val="000000"/>
          <w:sz w:val="22"/>
        </w:rPr>
        <w:t xml:space="preserve"> or 272C.10.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board may initiate a registrant disciplinary investigation upon the board’s receipt of information suggesting that a registrant may have violated a law or rule enforced by the board which violation, if true, would constitute grounds for registrant discipline. The board may also review the publicly available work product of a registrant on a general or random basis to determine whether reasonable grounds exist to initiate disciplinary proceedings or to conduct a more specific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193G—5.3</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193G—5.4</w:t>
      </w:r>
      <w:r>
        <w:rPr>
          <w:rFonts w:ascii="Times New Roman" w:hAnsi="Times New Roman"/>
          <w:b/>
          <w:i w:val="false"/>
          <w:color w:val="000000"/>
          <w:sz w:val="22"/>
        </w:rPr>
        <w:t xml:space="preserve">(272C,544C)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to the board office by mail, email, website portal,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on forms provided by the board that are available from the board’s website. Written complaints should include as much of the following information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filing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(registrant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As provided by Iowa Code section </w:t>
      </w:r>
      <w:hyperlink r:id="rId8">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a person will not be civilly liable as a result of filing a report or complaint with the board unless such act is done with malice, nor will an employee be dismissed from employment or discriminated against by an employer for filing such a report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may be initiated by the board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registrant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 xml:space="preserve">All written complaints received by the board are initially screened to determine whether the allegations of the complaint fall within the board’s investigatory jurisdiction and whether the facts presented, if true, would constitute a basis for disciplinary action against a registrant. Complaints that are clearly outside the board’s jurisdiction, that clearly do not allege facts upon which disciplinary action would be based, or that are frivolous are referred to the board for closure at the next scheduled board meeting. All other complaints are referred to the board’s disciplinary committee for committee review as described in rule </w:t>
      </w:r>
      <w:hyperlink r:id="rId9">
        <w:r>
          <w:rPr>
            <w:rStyle w:val="Hyperlink"/>
            <w:rFonts w:ascii="Times New Roman" w:hAnsi="Times New Roman"/>
            <w:b w:val="false"/>
            <w:i w:val="false"/>
            <w:color w:val="000000"/>
            <w:sz w:val="22"/>
          </w:rPr>
          <w:t>193G—5.6</w:t>
        </w:r>
      </w:hyperlink>
      <w:r>
        <w:rPr>
          <w:rFonts w:ascii="Times New Roman" w:hAnsi="Times New Roman"/>
          <w:b w:val="false"/>
          <w:i w:val="false"/>
          <w:color w:val="000000"/>
          <w:sz w:val="22"/>
        </w:rPr>
        <w:t>(17A,272C,544C).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193G—5.5</w:t>
      </w:r>
      <w:r>
        <w:rPr>
          <w:rFonts w:ascii="Times New Roman" w:hAnsi="Times New Roman"/>
          <w:b/>
          <w:i w:val="false"/>
          <w:color w:val="000000"/>
          <w:sz w:val="22"/>
        </w:rPr>
        <w:t xml:space="preserve">(272C,544C) </w:t>
      </w:r>
      <w:r>
        <w:rPr>
          <w:rFonts w:ascii="Times New Roman" w:hAnsi="Times New Roman"/>
          <w:b/>
          <w:i w:val="false"/>
          <w:color w:val="000000"/>
          <w:sz w:val="22"/>
        </w:rPr>
        <w:t xml:space="preserve">Case numbers. </w:t>
      </w:r>
      <w:r>
        <w:rPr>
          <w:rFonts w:ascii="Times New Roman" w:hAnsi="Times New Roman"/>
          <w:b w:val="false"/>
          <w:i w:val="false"/>
          <w:color w:val="000000"/>
          <w:sz w:val="22"/>
        </w:rPr>
        <w:t>Whether based on a written complaint received by the board or a complaint initiated by the board, all complaint files are tracked by a case numbering system. The board administrator maintains a case file log noting the date each case file was opened, whether disciplinary proceedings were initiated in the case, and the final disposition of the case. Once a case file number is assigned to a complaint, all persons communicating with the board regarding that complaint are encouraged to include the case file number to facilitate accurate recordkeeping and a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193G—5.6</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The board chairperson may annually appoint, as needed, two to three members of the board to serve on the board’s disciplinary committee to review and process disciplinary complaints. The disciplinary committee is a purely advisory body that reviews complaint files referred by the board administrator, generally supervises the investigation of complaints, and makes recommendations to the full board on the disposition of complaints. Members of the committee may not personally investigate complaints, but they may review the investigative work product of others in formulating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Committee screening of complaints. </w:t>
      </w:r>
      <w:r>
        <w:rPr>
          <w:rFonts w:ascii="Times New Roman" w:hAnsi="Times New Roman"/>
          <w:b w:val="false"/>
          <w:i w:val="false"/>
          <w:color w:val="000000"/>
          <w:sz w:val="22"/>
        </w:rPr>
        <w:t>Upon the referral of a complaint from the board administrator or from the full board, the committee determines whether the complaint presents facts that, if true, suggest that a registrant may have violated a law or rule enforced by the board. If the committee concludes that the complaint does not present facts that suggest such a violation or that the complaint does not otherwise constitute an appropriate basis for disciplinary action, the committee will refer the complaint to the full board with the recommendation that the complaint be closed with no further action. If the committee determines that the complaint does present a credible basis for disciplinary action, the committee may either immediately refer the complaint to the full board recommending that a disciplinary proceeding be commenced or initiate a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color w:val="000000"/>
          <w:sz w:val="22"/>
        </w:rPr>
        <w:t xml:space="preserve">Committee procedures. </w:t>
      </w:r>
      <w:r>
        <w:rPr>
          <w:rFonts w:ascii="Times New Roman" w:hAnsi="Times New Roman"/>
          <w:b w:val="false"/>
          <w:i w:val="false"/>
          <w:color w:val="000000"/>
          <w:sz w:val="22"/>
        </w:rPr>
        <w:t xml:space="preserve">If the committee determines that additional information is necessary or desirable to evaluate the merits of a complaint, the committee may assign an investigator or expert consultant, appoint a peer-review committee, provide the registrant an opportunity to appear before the disciplinary committee for an informal discussion as described in rule </w:t>
      </w:r>
      <w:hyperlink r:id="rId10">
        <w:r>
          <w:rPr>
            <w:rStyle w:val="Hyperlink"/>
            <w:rFonts w:ascii="Times New Roman" w:hAnsi="Times New Roman"/>
            <w:b w:val="false"/>
            <w:i w:val="false"/>
            <w:color w:val="000000"/>
            <w:sz w:val="22"/>
          </w:rPr>
          <w:t>193G—6.9</w:t>
        </w:r>
      </w:hyperlink>
      <w:r>
        <w:rPr>
          <w:rFonts w:ascii="Times New Roman" w:hAnsi="Times New Roman"/>
          <w:b w:val="false"/>
          <w:i w:val="false"/>
          <w:color w:val="000000"/>
          <w:sz w:val="22"/>
        </w:rPr>
        <w:t>(17A,272C,544C) or request that board staff conduct further investigation. Upon completion of an investigation, the investigator, expert consultant and peer-review committee or board staff will present a report to the committee. The committee will review the report and determine what further action is necessary. The committee may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there is not probable cause to believe a disciplinary violation has occurred and refer the case to the full board with the recommendation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law or rule enforced by the board has been violated but that disciplinary action is unwarranted on other grounds and refer the case to the full board with the recommendation of closure. The committee may also recommend that the registrant be informally cautioned or educated about matters that could form the basis for disciplinary action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a disciplinary violation has occurred and refer the case to the full board with the recommendation that the board initiate a disciplinary proceeding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w:t>
      </w:r>
      <w:r>
        <w:rPr>
          <w:rFonts w:ascii="Times New Roman" w:hAnsi="Times New Roman"/>
          <w:b w:val="false"/>
          <w:i w:val="false"/>
          <w:color w:val="000000"/>
          <w:sz w:val="22"/>
        </w:rPr>
        <w:t> </w:t>
      </w:r>
      <w:r>
        <w:rPr>
          <w:rFonts w:ascii="Times New Roman" w:hAnsi="Times New Roman"/>
          <w:b w:val="false"/>
          <w:i/>
          <w:color w:val="000000"/>
          <w:sz w:val="22"/>
        </w:rPr>
        <w:t xml:space="preserve">Subpoena authority. </w:t>
      </w:r>
      <w:r>
        <w:rPr>
          <w:rFonts w:ascii="Times New Roman" w:hAnsi="Times New Roman"/>
          <w:b w:val="false"/>
          <w:i w:val="false"/>
          <w:color w:val="000000"/>
          <w:sz w:val="22"/>
        </w:rPr>
        <w:t xml:space="preserve">Pursuant to Iowa Code sections </w:t>
      </w:r>
      <w:hyperlink r:id="rId11">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the board is authorized in connection with a disciplinary investigation to issue subpoenas to compel witnesses to testify or persons to produce books, papers, records and any other real evidence, whether or not privileged or confidential under law, that the board deems necessary as evidence in connection with a disciplinary proceeding or relevant to the decision of whether to initiate a disciplinary proceeding. Board procedures concerning investigatory subpoenas are set forth in rule </w:t>
      </w:r>
      <w:hyperlink r:id="rId13">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193G—5.7</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registrant, the committee may grant the registrant an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registrant an opportunity to share the registrant’s account of a complaint in an informal setting before the board determines whether probable cause exists to initiate a disciplinary proceeding. A registrant is not required to attend an informal discussion. Because disciplinary investigations are confidential, the registrant may not bring other persons to an informal discussion, but registrants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registrant, board members or staff who personally investigate a disciplinary complaint are disqualified from making decisions or assisting the decision makers at a later formal hearing. An informal discussion is a form of investigation because it is conducted in a question-and-answer format. In order to preserve the ability of all board members to participate in board decision making and to receive the advice of staff, a registrant who desires to attend an informal discussion must therefore waive the right to seek disqualification of a board member or staff based solely on the board member’s or staff’s participation in an informal discussion. A registrant would not waive the right to seek disqualification on any other ground. By electing to attend an informal discussion, a registrant accordingly agrees that none of the participating board members or staff is disqualified from acting as a presiding officer in a later contested case proceeding or from advising the decision-maker.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disciplinary committee, subject to board approval, may propose a consent order at the time of the informal discussion. If the registrant agrees to a consent order, a statement of charges will be filed simultaneously with the consent order, as provided in rule </w:t>
      </w:r>
      <w:hyperlink r:id="rId14">
        <w:r>
          <w:rPr>
            <w:rStyle w:val="Hyperlink"/>
            <w:rFonts w:ascii="Times New Roman" w:hAnsi="Times New Roman"/>
            <w:b w:val="false"/>
            <w:i w:val="false"/>
            <w:color w:val="000000"/>
            <w:sz w:val="22"/>
          </w:rPr>
          <w:t>193—7.4</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193G—5.8</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 xml:space="preserve">Upon the recommendation of the board’s executive officer pursuant to subrule </w:t>
      </w:r>
      <w:r>
        <w:rPr>
          <w:rFonts w:ascii="Times New Roman" w:hAnsi="Times New Roman"/>
          <w:b w:val="false"/>
          <w:i w:val="false"/>
          <w:color w:val="000000"/>
          <w:sz w:val="22"/>
        </w:rPr>
        <w:t>5.4(5)</w:t>
      </w:r>
      <w:r>
        <w:rPr>
          <w:rFonts w:ascii="Times New Roman" w:hAnsi="Times New Roman"/>
          <w:b w:val="false"/>
          <w:i w:val="false"/>
          <w:color w:val="000000"/>
          <w:sz w:val="22"/>
        </w:rPr>
        <w:t xml:space="preserve">, the recommendation of the disciplinary committee pursuant to rule </w:t>
      </w:r>
      <w:hyperlink r:id="rId15">
        <w:r>
          <w:rPr>
            <w:rStyle w:val="Hyperlink"/>
            <w:rFonts w:ascii="Times New Roman" w:hAnsi="Times New Roman"/>
            <w:b w:val="false"/>
            <w:i w:val="false"/>
            <w:color w:val="000000"/>
            <w:sz w:val="22"/>
          </w:rPr>
          <w:t>193G—5.6</w:t>
        </w:r>
      </w:hyperlink>
      <w:r>
        <w:rPr>
          <w:rFonts w:ascii="Times New Roman" w:hAnsi="Times New Roman"/>
          <w:b w:val="false"/>
          <w:i w:val="false"/>
          <w:color w:val="000000"/>
          <w:sz w:val="22"/>
        </w:rPr>
        <w:t>(17A,272C,544C), or on its own motion, the board may close a complaint file, with or without prior investigation. The board’s decision is final and not eligible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registrant when a complaint file is closed that informally cautions or educates the registrant about matters that could form the basis for disciplinary action in the future if corrective action is not taken by the registrant. Cautionary letters do not constitute disciplinary action, but the board may take such letters into consideration in the future if a registrant continues a practice about which the registrant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193G—5.9</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be initiated only by the affirmative vote of a quorum of the board at a public meeting. Board members who are disqualified shall not be included in determining whether a quorum exists. If, for example, two members of the board are disqualified, four members of the board constitute a quorum of the remaining six board members for purposes of voting on the case in which the two members are disqualified. When three or more members of the board are disqualified or otherwise unavailable for any reason, the board’s executive officer may request the special appointment of one or more substitute board members pursuant to Iowa Code section </w:t>
      </w:r>
      <w:hyperlink r:id="rId16">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193G—5.10</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Disciplinary contested case procedures. </w:t>
      </w:r>
      <w:r>
        <w:rPr>
          <w:rFonts w:ascii="Times New Roman" w:hAnsi="Times New Roman"/>
          <w:b w:val="false"/>
          <w:i w:val="false"/>
          <w:color w:val="000000"/>
          <w:sz w:val="22"/>
        </w:rPr>
        <w:t xml:space="preserve">Unless in conflict with a provision of board rules in this chapter, all of the procedures set forth in </w:t>
      </w:r>
      <w:hyperlink r:id="rId17">
        <w:r>
          <w:rPr>
            <w:rStyle w:val="Hyperlink"/>
            <w:rFonts w:ascii="Times New Roman" w:hAnsi="Times New Roman"/>
            <w:b w:val="false"/>
            <w:i w:val="false"/>
            <w:color w:val="000000"/>
            <w:sz w:val="22"/>
          </w:rPr>
          <w:t>193—Chapter 7</w:t>
        </w:r>
      </w:hyperlink>
      <w:r>
        <w:rPr>
          <w:rFonts w:ascii="Times New Roman" w:hAnsi="Times New Roman"/>
          <w:b w:val="false"/>
          <w:i w:val="false"/>
          <w:color w:val="000000"/>
          <w:sz w:val="22"/>
        </w:rPr>
        <w:t xml:space="preserve"> apply to disciplinary contested cases initiated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193G—5.11</w:t>
      </w:r>
      <w:r>
        <w:rPr>
          <w:rFonts w:ascii="Times New Roman" w:hAnsi="Times New Roman"/>
          <w:b/>
          <w:i w:val="false"/>
          <w:color w:val="000000"/>
          <w:sz w:val="22"/>
        </w:rPr>
        <w:t xml:space="preserve">(272C,544C)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Types of sanctions. </w:t>
      </w:r>
      <w:r>
        <w:rPr>
          <w:rFonts w:ascii="Times New Roman" w:hAnsi="Times New Roman"/>
          <w:b w:val="false"/>
          <w:i w:val="false"/>
          <w:color w:val="000000"/>
          <w:sz w:val="22"/>
        </w:rPr>
        <w:t>The board has authority to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Revoke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Suspend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or suspend the privilege to engage in one or more areas of registered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Impose requirements regarding continuing education. The board may specify that a designated amount of continuing education be taken in specific subjects and may specify the time period for completing these courses. The board may also specify whether that continuing education be in addition to the continuing education routinely required for registration renewal. The board may also specify that additional continuing education be a condition for the termination of any suspension or reinstatement of a registration. The board may also specify that current reference materials be obtained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reexamination, using one or more parts of the National Council for Interior Design Qualification (NCIDQ) examination given to candidates for the registered interior design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in an amount set by the board but not to exceed $1,000 per violation. Civil penalties may be imposed for any of the disciplinary violations specified in rule </w:t>
      </w:r>
      <w:hyperlink r:id="rId18">
        <w:r>
          <w:rPr>
            <w:rStyle w:val="Hyperlink"/>
            <w:rFonts w:ascii="Times New Roman" w:hAnsi="Times New Roman"/>
            <w:b w:val="false"/>
            <w:i w:val="false"/>
            <w:color w:val="000000"/>
            <w:sz w:val="22"/>
          </w:rPr>
          <w:t>193G—5.2</w:t>
        </w:r>
      </w:hyperlink>
      <w:r>
        <w:rPr>
          <w:rFonts w:ascii="Times New Roman" w:hAnsi="Times New Roman"/>
          <w:b w:val="false"/>
          <w:i w:val="false"/>
          <w:color w:val="000000"/>
          <w:sz w:val="22"/>
        </w:rPr>
        <w:t>(17A,272C,544C).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Discipline may be imposed against a registrant only by the affirmative vote of a majority of the members of the board who are not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registration to resolve a pending disciplinary investigation or contested case. The board shall not accept a voluntary surrender of a registration to resolve a pending disciplinary investigation unless a statement of charges will be filed along with the order accepting the voluntary surrender. Such a voluntary surrender is considered disciplinary action and will be published in the same manner as other disciplinary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Whenever a registration is revoked, suspended, restricted, or voluntarily surrendered under this chapter, the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15 days of receipt of the board’s final order, notify in writing all clients of the fact that the registration has been revoked, suspended or voluntarily surrendered or that the practice of the registrant has been restricted. Such notice shall advise the client to obtain alternative professional services unless the restriction at issue would not impact the registered interior design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board’s final order, file with the board copies of the notices sent pursuant to paragraph </w:t>
      </w:r>
      <w:r>
        <w:rPr>
          <w:rFonts w:ascii="Times New Roman" w:hAnsi="Times New Roman"/>
          <w:b w:val="false"/>
          <w:i w:val="false"/>
          <w:color w:val="000000"/>
          <w:sz w:val="22"/>
        </w:rPr>
        <w:t>5.11(4)</w:t>
      </w:r>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requirement is a condition for an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Factors the board may consider when determining whether to assess the amount of civil penalties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registrant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registrant cooperated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193G—5.12</w:t>
      </w:r>
      <w:r>
        <w:rPr>
          <w:rFonts w:ascii="Times New Roman" w:hAnsi="Times New Roman"/>
          <w:b/>
          <w:i w:val="false"/>
          <w:color w:val="000000"/>
          <w:sz w:val="22"/>
        </w:rPr>
        <w:t xml:space="preserve">(272C,544C) </w:t>
      </w:r>
      <w:r>
        <w:rPr>
          <w:rFonts w:ascii="Times New Roman" w:hAnsi="Times New Roman"/>
          <w:b/>
          <w:i w:val="false"/>
          <w:color w:val="000000"/>
          <w:sz w:val="22"/>
        </w:rPr>
        <w:t xml:space="preserve">Publication of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val="false"/>
          <w:color w:val="000000"/>
          <w:sz w:val="22"/>
        </w:rPr>
        <w:t>The board will publish the name of each registrant disciplined by the board, along with a brief description of the underlying circumstances, regardless of 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val="false"/>
          <w:color w:val="000000"/>
          <w:sz w:val="22"/>
        </w:rPr>
        <w:t>The board will issue a formal press release in those instances in which a registration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val="false"/>
          <w:color w:val="000000"/>
          <w:sz w:val="22"/>
        </w:rPr>
        <w:t>The board will notify other state interior design boards that have issued a similar license to an Iowa registrant of disciplinary action taken against the Iowa registrant. The board will also notify the CIDQ of disciplinary action taken against an Iowa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193G—5.13</w:t>
      </w:r>
      <w:r>
        <w:rPr>
          <w:rFonts w:ascii="Times New Roman" w:hAnsi="Times New Roman"/>
          <w:b/>
          <w:i w:val="false"/>
          <w:color w:val="000000"/>
          <w:sz w:val="22"/>
        </w:rPr>
        <w:t xml:space="preserve">(272C,544C)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“reinstatement,” as used in this rule and in rule </w:t>
      </w:r>
      <w:hyperlink r:id="rId19">
        <w:r>
          <w:rPr>
            <w:rStyle w:val="Hyperlink"/>
            <w:rFonts w:ascii="Times New Roman" w:hAnsi="Times New Roman"/>
            <w:b w:val="false"/>
            <w:i w:val="false"/>
            <w:color w:val="000000"/>
            <w:sz w:val="22"/>
          </w:rPr>
          <w:t>193—7.38</w:t>
        </w:r>
      </w:hyperlink>
      <w:r>
        <w:rPr>
          <w:rFonts w:ascii="Times New Roman" w:hAnsi="Times New Roman"/>
          <w:b w:val="false"/>
          <w:i w:val="false"/>
          <w:color w:val="000000"/>
          <w:sz w:val="22"/>
        </w:rPr>
        <w:t>(17A,272C), includes the reinstatement of a suspended registration, the modification or removal of a practice restriction, the issuance of a registration following the denial of an application to renew a registration, and the issuance of a new registration following the revocation or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val="false"/>
          <w:color w:val="000000"/>
          <w:sz w:val="22"/>
        </w:rPr>
        <w:t>Any person whose registration has been revoked, suspended or restricted by the board or who has voluntarily surrendered a registration to conclude a disciplinary investigation or proceeding or whose application to renew a registration has been denied may apply to the board to modify or terminate the suspension, issue or reissue the registration, or modify or remove the restriction in accordance with the provisions of this rule and the terms of the order of revocation, suspension or restriction, denial of registration renewal, or acceptance of voluntary surrender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val="false"/>
          <w:color w:val="000000"/>
          <w:sz w:val="22"/>
        </w:rPr>
        <w:t>If the applicable order did not establish terms upon which the registrant may apply for reinstatement, an initial application for reinstatement may not be made until one year has elapsed from the date of the order that revoked, suspended or restricted the registration, denied registration renewal, or accepted a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will be initiated by the respondent and are subject to the procedures set forth in rule </w:t>
      </w:r>
      <w:hyperlink r:id="rId20">
        <w:r>
          <w:rPr>
            <w:rStyle w:val="Hyperlink"/>
            <w:rFonts w:ascii="Times New Roman" w:hAnsi="Times New Roman"/>
            <w:b w:val="false"/>
            <w:i w:val="false"/>
            <w:color w:val="000000"/>
            <w:sz w:val="22"/>
          </w:rPr>
          <w:t>193—7.38</w:t>
        </w:r>
      </w:hyperlink>
      <w:r>
        <w:rPr>
          <w:rFonts w:ascii="Times New Roman" w:hAnsi="Times New Roman"/>
          <w:b w:val="false"/>
          <w:i w:val="false"/>
          <w:color w:val="000000"/>
          <w:sz w:val="22"/>
        </w:rPr>
        <w:t>(17A,272C). In addition, the board may grant an applicant’s request to appear informally before the board prior to the issuance of a notice of hearing on the application if the applicant requests an informal appearance in the application and agrees not to seek to disqualify on the grounds of personal investigation the board members or staff before whom the applicant appears.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5.13(5)</w:t>
      </w:r>
      <w:r>
        <w:rPr>
          <w:rFonts w:ascii="Times New Roman" w:hAnsi="Times New Roman"/>
          <w:b w:val="false"/>
          <w:i w:val="false"/>
          <w:color w:val="000000"/>
          <w:sz w:val="22"/>
        </w:rPr>
        <w:t> </w:t>
      </w:r>
      <w:r>
        <w:rPr>
          <w:rFonts w:ascii="Times New Roman" w:hAnsi="Times New Roman"/>
          <w:b w:val="false"/>
          <w:i w:val="false"/>
          <w:color w:val="000000"/>
          <w:sz w:val="22"/>
        </w:rPr>
        <w:t xml:space="preserve">An order granting an application for reinstatement may impose such terms and conditions as the board deems desirable, which may include one or more of the types of disciplinary sanctions described in rule </w:t>
      </w:r>
      <w:hyperlink r:id="rId21">
        <w:r>
          <w:rPr>
            <w:rStyle w:val="Hyperlink"/>
            <w:rFonts w:ascii="Times New Roman" w:hAnsi="Times New Roman"/>
            <w:b w:val="false"/>
            <w:i w:val="false"/>
            <w:color w:val="000000"/>
            <w:sz w:val="22"/>
          </w:rPr>
          <w:t>193G—5.11</w:t>
        </w:r>
      </w:hyperlink>
      <w:r>
        <w:rPr>
          <w:rFonts w:ascii="Times New Roman" w:hAnsi="Times New Roman"/>
          <w:b w:val="false"/>
          <w:i w:val="false"/>
          <w:color w:val="000000"/>
          <w:sz w:val="22"/>
        </w:rPr>
        <w:t>(272C,544C).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5.13(6)</w:t>
      </w:r>
      <w:r>
        <w:rPr>
          <w:rFonts w:ascii="Times New Roman" w:hAnsi="Times New Roman"/>
          <w:b w:val="false"/>
          <w:i w:val="false"/>
          <w:color w:val="000000"/>
          <w:sz w:val="22"/>
        </w:rPr>
        <w:t> </w:t>
      </w:r>
      <w:r>
        <w:rPr>
          <w:rFonts w:ascii="Times New Roman" w:hAnsi="Times New Roman"/>
          <w:b w:val="false"/>
          <w:i w:val="false"/>
          <w:color w:val="000000"/>
          <w:sz w:val="22"/>
        </w:rPr>
        <w:t>The board will not grant an application for reinstatement when the initial order that revoked, suspended or restricted the registration, denied registration renewal, or accepted a voluntary surrender was based on a criminal conviction and the applicant cannot demonstrate to the board’s satisfaction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terms of the sentencing or other criminal order have been fully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released from confinement and any applicable probation or parole;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Restitution has been made or is reasonably in the process of being made to any victims of the crime.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5/15/07, Notice 3/28/07—published 6/6/07, effective 7/11/07]</w:t>
      </w:r>
    </w:p>
    <w:p>
      <w:pPr>
        <w:spacing w:before="0" w:after="0"/>
        <w:ind w:left="120"/>
        <w:jc w:val="center"/>
      </w:pPr>
      <w:r>
        <w:rPr>
          <w:rFonts w:ascii="Times New Roman" w:hAnsi="Times New Roman"/>
          <w:b w:val="false"/>
          <w:i w:val="false"/>
          <w:color w:val="000000"/>
          <w:sz w:val="21"/>
        </w:rPr>
        <w:t>[Filed ARC 3024C</w:t>
      </w:r>
      <w:r>
        <w:rPr>
          <w:rFonts w:ascii="Times New Roman" w:hAnsi="Times New Roman"/>
          <w:b w:val="false"/>
          <w:i w:val="false"/>
          <w:color w:val="000000"/>
          <w:sz w:val="21"/>
        </w:rPr>
        <w:t xml:space="preserve"> (Notice ARC 2797C,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9026C</w:t>
      </w:r>
      <w:r>
        <w:rPr>
          <w:rFonts w:ascii="Times New Roman" w:hAnsi="Times New Roman"/>
          <w:b w:val="false"/>
          <w:i w:val="false"/>
          <w:color w:val="000000"/>
          <w:sz w:val="21"/>
        </w:rPr>
        <w:t xml:space="preserve"> (Notice ARC 8554C, IAB 12/25/24)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3G.4.pdf" Type="http://schemas.openxmlformats.org/officeDocument/2006/relationships/hyperlink" Id="rId5"/>
    <Relationship TargetMode="External" Target="https://www.legis.iowa.gov/docs/ico/chapter/272C.9.pdf" Type="http://schemas.openxmlformats.org/officeDocument/2006/relationships/hyperlink" Id="rId6"/>
    <Relationship TargetMode="External" Target="https://www.legis.iowa.gov/docs/ico/chapter/544C.9.pdf" Type="http://schemas.openxmlformats.org/officeDocument/2006/relationships/hyperlink" Id="rId7"/>
    <Relationship TargetMode="External" Target="https://www.legis.iowa.gov/docs/ico/chapter/272C.8.pdf" Type="http://schemas.openxmlformats.org/officeDocument/2006/relationships/hyperlink" Id="rId8"/>
    <Relationship TargetMode="External" Target="https://www.legis.iowa.gov/docs/iac/rule/193G.5.6.pdf" Type="http://schemas.openxmlformats.org/officeDocument/2006/relationships/hyperlink" Id="rId9"/>
    <Relationship TargetMode="External" Target="https://www.legis.iowa.gov/docs/iac/rule/193G.6.9.pdf" Type="http://schemas.openxmlformats.org/officeDocument/2006/relationships/hyperlink" Id="rId10"/>
    <Relationship TargetMode="External" Target="https://www.legis.iowa.gov/docs/ico/chapter/17A.13.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ac/rule/481.503.5.pdf" Type="http://schemas.openxmlformats.org/officeDocument/2006/relationships/hyperlink" Id="rId13"/>
    <Relationship TargetMode="External" Target="https://www.legis.iowa.gov/docs/iac/rule/193.7.4.pdf" Type="http://schemas.openxmlformats.org/officeDocument/2006/relationships/hyperlink" Id="rId14"/>
    <Relationship TargetMode="External" Target="https://www.legis.iowa.gov/docs/iac/rule/193G.5.6.pdf" Type="http://schemas.openxmlformats.org/officeDocument/2006/relationships/hyperlink" Id="rId15"/>
    <Relationship TargetMode="External" Target="https://www.legis.iowa.gov/docs/ico/chapter/17A.11.pdf" Type="http://schemas.openxmlformats.org/officeDocument/2006/relationships/hyperlink" Id="rId16"/>
    <Relationship TargetMode="External" Target="https://www.legis.iowa.gov/docs/iac/chapter/193.7.pdf" Type="http://schemas.openxmlformats.org/officeDocument/2006/relationships/hyperlink" Id="rId17"/>
    <Relationship TargetMode="External" Target="https://www.legis.iowa.gov/docs/iac/rule/193G.5.2.pdf" Type="http://schemas.openxmlformats.org/officeDocument/2006/relationships/hyperlink" Id="rId18"/>
    <Relationship TargetMode="External" Target="https://www.legis.iowa.gov/docs/iac/rule/193.7.38.pdf" Type="http://schemas.openxmlformats.org/officeDocument/2006/relationships/hyperlink" Id="rId19"/>
    <Relationship TargetMode="External" Target="https://www.legis.iowa.gov/docs/iac/rule/193.7.38.pdf" Type="http://schemas.openxmlformats.org/officeDocument/2006/relationships/hyperlink" Id="rId20"/>
    <Relationship TargetMode="External" Target="https://www.legis.iowa.gov/docs/iac/rule/193G.5.11.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co/chapter/544C.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