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image/png" PartName="/word/media/document_image_rId8.png"/>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w:t>
      </w:r>
    </w:p>
    <w:p>
      <w:pPr>
        <w:spacing w:before="0" w:after="0"/>
        <w:ind w:left="120"/>
        <w:jc w:val="center"/>
      </w:pPr>
      <w:r>
        <w:rPr>
          <w:rFonts w:ascii="Times New Roman" w:hAnsi="Times New Roman"/>
          <w:b w:val="false"/>
          <w:i w:val="false"/>
          <w:color w:val="000000"/>
          <w:sz w:val="21"/>
        </w:rPr>
        <w:t>PROFESSIONAL CONDUCT</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5/8/29</w:t>
      </w:r>
    </w:p>
    <w:p>
      <w:pPr>
        <w:spacing w:before="0" w:after="0"/>
        <w:ind w:left="120"/>
        <w:jc w:val="both"/>
      </w:pPr>
      <w:r>
        <w:rPr>
          <w:rFonts w:ascii="Times New Roman" w:hAnsi="Times New Roman"/>
          <w:b/>
          <w:i w:val="false"/>
          <w:color w:val="000000"/>
          <w:sz w:val="22"/>
        </w:rPr>
        <w:t>193G—4.1</w:t>
      </w:r>
      <w:r>
        <w:rPr>
          <w:rFonts w:ascii="Times New Roman" w:hAnsi="Times New Roman"/>
          <w:b/>
          <w:i w:val="false"/>
          <w:color w:val="000000"/>
          <w:sz w:val="22"/>
        </w:rPr>
        <w:t xml:space="preserve">(544C) </w:t>
      </w:r>
      <w:r>
        <w:rPr>
          <w:rFonts w:ascii="Times New Roman" w:hAnsi="Times New Roman"/>
          <w:b/>
          <w:i w:val="false"/>
          <w:color w:val="000000"/>
          <w:sz w:val="22"/>
        </w:rPr>
        <w:t xml:space="preserve">Rules of conduct. </w:t>
      </w:r>
      <w:r>
        <w:rPr>
          <w:rFonts w:ascii="Times New Roman" w:hAnsi="Times New Roman"/>
          <w:b w:val="false"/>
          <w:i w:val="false"/>
          <w:color w:val="000000"/>
          <w:sz w:val="22"/>
        </w:rPr>
        <w:t xml:space="preserve">A registered interior designer shall maintain a high standard of integrity and professional responsibility within the profession of registered interior design to protect the public health, life, safety, and welfare. Failure by a registrant to adhere to the provisions of Iowa Code section </w:t>
      </w:r>
      <w:hyperlink r:id="rId5">
        <w:r>
          <w:rPr>
            <w:rStyle w:val="Hyperlink"/>
            <w:rFonts w:ascii="Times New Roman" w:hAnsi="Times New Roman"/>
            <w:b w:val="false"/>
            <w:i w:val="false"/>
            <w:color w:val="000000"/>
            <w:sz w:val="22"/>
          </w:rPr>
          <w:t>272C.10</w:t>
        </w:r>
      </w:hyperlink>
      <w:r>
        <w:rPr>
          <w:rFonts w:ascii="Times New Roman" w:hAnsi="Times New Roman"/>
          <w:b w:val="false"/>
          <w:i w:val="false"/>
          <w:color w:val="000000"/>
          <w:sz w:val="22"/>
        </w:rPr>
        <w:t xml:space="preserve"> and chapter </w:t>
      </w:r>
      <w:hyperlink r:id="rId6">
        <w:r>
          <w:rPr>
            <w:rStyle w:val="Hyperlink"/>
            <w:rFonts w:ascii="Times New Roman" w:hAnsi="Times New Roman"/>
            <w:b w:val="false"/>
            <w:i w:val="false"/>
            <w:color w:val="000000"/>
            <w:sz w:val="22"/>
          </w:rPr>
          <w:t>544C</w:t>
        </w:r>
      </w:hyperlink>
      <w:r>
        <w:rPr>
          <w:rFonts w:ascii="Times New Roman" w:hAnsi="Times New Roman"/>
          <w:b w:val="false"/>
          <w:i w:val="false"/>
          <w:color w:val="000000"/>
          <w:sz w:val="22"/>
        </w:rPr>
        <w:t xml:space="preserve"> and the following rules of conduct may be grounds for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w:t>
      </w:r>
      <w:r>
        <w:rPr>
          <w:rFonts w:ascii="Times New Roman" w:hAnsi="Times New Roman"/>
          <w:b w:val="false"/>
          <w:i w:val="false"/>
          <w:color w:val="000000"/>
          <w:sz w:val="22"/>
        </w:rPr>
        <w:t> </w:t>
      </w:r>
      <w:r>
        <w:rPr>
          <w:rFonts w:ascii="Times New Roman" w:hAnsi="Times New Roman"/>
          <w:b w:val="false"/>
          <w:i/>
          <w:color w:val="000000"/>
          <w:sz w:val="22"/>
        </w:rPr>
        <w:t xml:space="preserve">Competence.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registered interior designer shall act with reasonable care and competence and apply the technical knowledge and skill ordinarily applied by a registered interior designer of good standing providing interior design services in the same locality.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board may initiate discipline against a registered interior designer or may, when appropriate, refer a registered interior designer to the board’s impaired practitioner review committee based on habitual intoxication or addiction to the use of drugs or other impairment that adversely affects the registrant’s ability to practice in a safe and competent manner.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w:t>
      </w:r>
      <w:r>
        <w:rPr>
          <w:rFonts w:ascii="Times New Roman" w:hAnsi="Times New Roman"/>
          <w:b w:val="false"/>
          <w:i w:val="false"/>
          <w:color w:val="000000"/>
          <w:sz w:val="22"/>
        </w:rPr>
        <w:t> </w:t>
      </w:r>
      <w:r>
        <w:rPr>
          <w:rFonts w:ascii="Times New Roman" w:hAnsi="Times New Roman"/>
          <w:b w:val="false"/>
          <w:i/>
          <w:color w:val="000000"/>
          <w:sz w:val="22"/>
        </w:rPr>
        <w:t xml:space="preserve">Conflict of interest.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registered interior designer shall not accept compensation for services from more than one party on a project unless the circumstances are fully disclosed to and agreed to (such disclosures and agreements are to be in writing) by all interested parties in advance of payment of such compensation.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 registered interior designer has any business association or direct or indirect financial interest that is substantial enough to influence the registered interior designer’s judgment in connection with the registered interior designer’s performance of professional services, the registered interior designer shall fully disclose, in writing, to the client or employer the nature of the business association or financial interest, and if the client or employer objects to the association or financial interest, the registered interior designer will either terminate such association or interest or offer to give up the commission or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registered interior designer shall not solicit or accept compensation from material or equipment suppliers in return for specifying or endorsing the products.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When acting as the interpreter of building contract documents and the judge of contract performance, a registered interior designer shall render decisions impartially, favoring neither party to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w:t>
      </w:r>
      <w:r>
        <w:rPr>
          <w:rFonts w:ascii="Times New Roman" w:hAnsi="Times New Roman"/>
          <w:b w:val="false"/>
          <w:i w:val="false"/>
          <w:color w:val="000000"/>
          <w:sz w:val="22"/>
        </w:rPr>
        <w:t> </w:t>
      </w:r>
      <w:r>
        <w:rPr>
          <w:rFonts w:ascii="Times New Roman" w:hAnsi="Times New Roman"/>
          <w:b w:val="false"/>
          <w:i/>
          <w:color w:val="000000"/>
          <w:sz w:val="22"/>
        </w:rPr>
        <w:t xml:space="preserve">Full disclosure.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registered interior designer shall not deliberately make a materially false statement or deliberately fail to disclose a material fact requested in connection with application for registration or renewal of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registered interior designer shall not assist in the application for registration of a person known by the registered interior designer to be unqualified with respect to education, training, experience or character.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registered interior designer engaged in the practice of interior design must act in the best interest of the client and shall not allow integrity, objectivity or professional judgment to be impaired.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registered interior designer with knowledge of a violation of these rules by another registered interior designer shall report such knowledge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w:t>
      </w:r>
      <w:r>
        <w:rPr>
          <w:rFonts w:ascii="Times New Roman" w:hAnsi="Times New Roman"/>
          <w:b w:val="false"/>
          <w:i w:val="false"/>
          <w:color w:val="000000"/>
          <w:sz w:val="22"/>
        </w:rPr>
        <w:t> </w:t>
      </w:r>
      <w:r>
        <w:rPr>
          <w:rFonts w:ascii="Times New Roman" w:hAnsi="Times New Roman"/>
          <w:b w:val="false"/>
          <w:i/>
          <w:color w:val="000000"/>
          <w:sz w:val="22"/>
        </w:rPr>
        <w:t xml:space="preserve">Professional conduct.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registered interior designer shall respect the confidentiality of sensitive information obtained in the course of the interior designer’s professional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registered interior designer shall not engage in conduct involving fraud, deceit, misrepresentation or dishonesty in the practice of interior design.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registered interior designer shall neither attempt to obtain a contract to provide interior design services through any unlawful means nor assist others in such an attempt.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registered interior designer shall neither offer nor make any payment to a governmental official with the intent of influencing the official’s judgment in connection with a prospective or existing project in which the interior designer has an interest.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w:t>
      </w:r>
      <w:r>
        <w:rPr>
          <w:rFonts w:ascii="Times New Roman" w:hAnsi="Times New Roman"/>
          <w:b w:val="false"/>
          <w:i w:val="false"/>
          <w:color w:val="000000"/>
          <w:sz w:val="22"/>
        </w:rPr>
        <w:t> </w:t>
      </w:r>
      <w:r>
        <w:rPr>
          <w:rFonts w:ascii="Times New Roman" w:hAnsi="Times New Roman"/>
          <w:b w:val="false"/>
          <w:i/>
          <w:color w:val="000000"/>
          <w:sz w:val="22"/>
        </w:rPr>
        <w:t xml:space="preserve">Seal and certificate of responsibility.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seal under Iowa Code section </w:t>
      </w:r>
      <w:hyperlink r:id="rId7">
        <w:r>
          <w:rPr>
            <w:rStyle w:val="Hyperlink"/>
            <w:rFonts w:ascii="Times New Roman" w:hAnsi="Times New Roman"/>
            <w:b w:val="false"/>
            <w:i w:val="false"/>
            <w:color w:val="000000"/>
            <w:sz w:val="22"/>
          </w:rPr>
          <w:t>544C.14</w:t>
        </w:r>
      </w:hyperlink>
      <w:r>
        <w:rPr>
          <w:rFonts w:ascii="Times New Roman" w:hAnsi="Times New Roman"/>
          <w:b w:val="false"/>
          <w:i w:val="false"/>
          <w:color w:val="000000"/>
          <w:sz w:val="22"/>
        </w:rPr>
        <w:t xml:space="preserve">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outside circle with a diameter of approximately 1 ¾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name of the registered interior designer and the words “Registered Interior Designer.”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Iowa registration number and the word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seal will substantially conform to the sample shown below:</w:t>
      </w:r>
    </w:p>
    <w:p>
      <w:pPr>
        <w:spacing w:before="0" w:after="0"/>
        <w:ind w:left="120"/>
        <w:jc w:val="both"/>
      </w:pPr>
      <w:r>
        <w:drawing>
          <wp:inline distT="0" distB="0" distL="0" distR="0">
            <wp:extent cx="1828800" cy="1704975"/>
            <wp:effectExtent l="0" t="0" r="0" b="0"/>
            <wp:docPr id="2" name="" descr=""/>
            <wp:cNvGraphicFramePr>
              <a:graphicFrameLocks noChangeAspect="true"/>
            </wp:cNvGraphicFramePr>
            <a:graphic>
              <a:graphicData uri="http://schemas.openxmlformats.org/drawingml/2006/picture">
                <pic:pic>
                  <pic:nvPicPr>
                    <pic:cNvPr id="1" name=""/>
                    <pic:cNvPicPr/>
                  </pic:nvPicPr>
                  <pic:blipFill>
                    <a:blip r:embed="rId8"/>
                    <a:stretch>
                      <a:fillRect/>
                    </a:stretch>
                  </pic:blipFill>
                  <pic:spPr>
                    <a:xfrm>
                      <a:off x="0" y="0"/>
                      <a:ext cx="1828800" cy="1704975"/>
                    </a:xfrm>
                    <a:prstGeom prst="rect">
                      <a:avLst/>
                    </a:prstGeom>
                  </pic:spPr>
                </pic:pic>
              </a:graphicData>
            </a:graphic>
          </wp:inline>
        </w:drawing>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legible rubber stamp, electronic image or other facsimile of the seal may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Each technical submission submitted to a client or any public agency, hereinafter referred to as the official copy, shall contain an information block on its first page or on an attached cover sheet with application of a seal by the registered interior designer in responsible charge and an information block with application of a seal by each professional consultant contributing to the technical submission. The seal and original signature shall be applied only to a final technical submission. Each official copy of a technical submission shall be stapled, bound or otherwise attached together so as to clearly establish the complete extent of the technical submission. Each information block shall display the seal of the individual responsible for that portion of the technical submission. The area of responsibility for each sealing professional shall be designated in the area provided in the information block, so that responsibility for the entire technical submission is clearly established by the combination of the stated seal responsibilities. The information block will substantially conform to the sample shown below:</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3109"/>
        <w:gridCol w:w="5174"/>
        <w:gridCol w:w="2907"/>
      </w:tblGrid>
      <w:tr>
        <w:trPr>
          <w:trHeight w:val="690" w:hRule="atLeast"/>
        </w:trPr>
        <w:tc>
          <w:tcPr>
            <w:tcW w:w="3109"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 </w:t>
            </w:r>
          </w:p>
          <w:p>
            <w:pPr>
              <w:spacing w:before="0" w:after="0"/>
              <w:ind w:left="160"/>
              <w:jc w:val="center"/>
            </w:pPr>
            <w:r>
              <w:rPr>
                <w:rFonts w:ascii="Times New Roman" w:hAnsi="Times New Roman"/>
                <w:b w:val="false"/>
                <w:i w:val="false"/>
                <w:color w:val="000000"/>
                <w:sz w:val="16"/>
              </w:rPr>
              <w:t>S E A L</w:t>
            </w:r>
          </w:p>
        </w:tc>
        <w:tc>
          <w:tcPr>
            <w:tcW w:w="0" w:type="auto"/>
            <w:gridSpan w:val="2"/>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I hereby certify that the portion of this technical submission described below was prepared by me or under my direct supervision and responsible charge. I am a duly registered interior designer under the laws of the state of Iowa.</w:t>
            </w:r>
          </w:p>
        </w:tc>
      </w:tr>
      <w:tr>
        <w:trPr>
          <w:trHeight w:val="210" w:hRule="atLeast"/>
        </w:trPr>
        <w:tc>
          <w:tcPr>
            <w:tcW w:w="310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2"/>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310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2"/>
            <w:tcBorders/>
            <w:tcMar>
              <w:top w:w="30" w:type="dxa"/>
              <w:left w:w="30" w:type="dxa"/>
              <w:bottom w:w="15" w:type="dxa"/>
              <w:right w:w="30" w:type="dxa"/>
            </w:tcMar>
            <w:vAlign w:val="top"/>
          </w:tcPr>
          <w:p>
            <w:pPr>
              <w:spacing w:before="0" w:after="0"/>
              <w:ind w:left="0"/>
              <w:jc w:val="left"/>
            </w:pPr>
          </w:p>
        </w:tc>
      </w:tr>
      <w:tr>
        <w:trPr>
          <w:trHeight w:val="210" w:hRule="atLeast"/>
        </w:trPr>
        <w:tc>
          <w:tcPr>
            <w:tcW w:w="310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17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Signature</w:t>
            </w:r>
          </w:p>
        </w:tc>
        <w:tc>
          <w:tcPr>
            <w:tcW w:w="290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Date</w:t>
            </w:r>
          </w:p>
        </w:tc>
      </w:tr>
      <w:tr>
        <w:trPr>
          <w:trHeight w:val="210" w:hRule="atLeast"/>
        </w:trPr>
        <w:tc>
          <w:tcPr>
            <w:tcW w:w="310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310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2"/>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Printed or typed name</w:t>
            </w:r>
          </w:p>
        </w:tc>
      </w:tr>
      <w:tr>
        <w:trPr>
          <w:trHeight w:val="210" w:hRule="atLeast"/>
        </w:trPr>
        <w:tc>
          <w:tcPr>
            <w:tcW w:w="310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2"/>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Registration number</w:t>
            </w:r>
          </w:p>
        </w:tc>
      </w:tr>
      <w:tr>
        <w:trPr>
          <w:trHeight w:val="390" w:hRule="atLeast"/>
        </w:trPr>
        <w:tc>
          <w:tcPr>
            <w:tcW w:w="310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2"/>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My registration renewal date is June 30,</w:t>
            </w:r>
          </w:p>
          <w:p>
            <w:pPr>
              <w:spacing w:before="0" w:after="0"/>
              <w:ind w:left="160"/>
              <w:jc w:val="left"/>
            </w:pPr>
            <w:r>
              <w:rPr>
                <w:rFonts w:ascii="Times New Roman" w:hAnsi="Times New Roman"/>
                <w:b w:val="false"/>
                <w:i w:val="false"/>
                <w:color w:val="000000"/>
                <w:sz w:val="16"/>
              </w:rPr>
              <w:t>.</w:t>
            </w:r>
          </w:p>
        </w:tc>
      </w:tr>
      <w:tr>
        <w:trPr>
          <w:trHeight w:val="1245" w:hRule="atLeast"/>
        </w:trPr>
        <w:tc>
          <w:tcPr>
            <w:tcW w:w="310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2"/>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 xml:space="preserve">Pages or sheets covered by this seal: </w:t>
            </w:r>
          </w:p>
          <w:p>
            <w:pPr>
              <w:spacing w:before="0" w:after="0"/>
              <w:ind w:left="160"/>
              <w:jc w:val="left"/>
            </w:pPr>
          </w:p>
          <w:p>
            <w:pPr>
              <w:spacing w:before="0" w:after="0"/>
              <w:ind w:left="160"/>
              <w:jc w:val="left"/>
            </w:pPr>
          </w:p>
          <w:p>
            <w:pPr>
              <w:spacing w:before="0" w:after="0"/>
              <w:ind w:left="160"/>
              <w:jc w:val="left"/>
            </w:pPr>
          </w:p>
          <w:p>
            <w:pPr>
              <w:spacing w:before="0" w:after="0"/>
              <w:ind w:left="160"/>
              <w:jc w:val="left"/>
            </w:pPr>
          </w:p>
          <w:p>
            <w:pPr>
              <w:spacing w:before="0" w:after="0"/>
              <w:ind w:left="160"/>
              <w:jc w:val="lef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information requested in each information block must be typed or legibly printed in permanent ink or a secure electronic signature. An electronic signature as defined in or governed by Iowa Code chapter </w:t>
      </w:r>
      <w:hyperlink r:id="rId9">
        <w:r>
          <w:rPr>
            <w:rStyle w:val="Hyperlink"/>
            <w:rFonts w:ascii="Times New Roman" w:hAnsi="Times New Roman"/>
            <w:b w:val="false"/>
            <w:i w:val="false"/>
            <w:color w:val="000000"/>
            <w:sz w:val="22"/>
          </w:rPr>
          <w:t>554D</w:t>
        </w:r>
      </w:hyperlink>
      <w:r>
        <w:rPr>
          <w:rFonts w:ascii="Times New Roman" w:hAnsi="Times New Roman"/>
          <w:b w:val="false"/>
          <w:i w:val="false"/>
          <w:color w:val="000000"/>
          <w:sz w:val="22"/>
        </w:rPr>
        <w:t xml:space="preserve"> meets the signature requirements of this rule if it is protected by a security procedure, as defined in Iowa Code section </w:t>
      </w:r>
      <w:hyperlink r:id="rId10">
        <w:r>
          <w:rPr>
            <w:rStyle w:val="Hyperlink"/>
            <w:rFonts w:ascii="Times New Roman" w:hAnsi="Times New Roman"/>
            <w:b w:val="false"/>
            <w:i w:val="false"/>
            <w:color w:val="000000"/>
            <w:sz w:val="22"/>
          </w:rPr>
          <w:t>554D.103(14)</w:t>
        </w:r>
      </w:hyperlink>
      <w:r>
        <w:rPr>
          <w:rFonts w:ascii="Times New Roman" w:hAnsi="Times New Roman"/>
          <w:b w:val="false"/>
          <w:i w:val="false"/>
          <w:color w:val="000000"/>
          <w:sz w:val="22"/>
        </w:rPr>
        <w:t xml:space="preserve">, such as digital signature technology. It is the registrant’s responsibility to ensure, prior to affixing an electronic signature to a technical submission, that security procedures are adequate to: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Verify that the signature is that of a specific person,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Detect any changes that may be made or attempted after the signature of the specific person is affixed. The seal implies responsibility for the entire technical submission unless the area of responsibility is clearly identified in the information accompanying the seal.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It is the responsibility of the registered interior designer who signed the original submission to forward copies of all changes and amendments to the technical submission, which becomes a part of the official copy of the technical submission, to the public official charged with the enforcement of the state, county, or municipal building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registered interior designer is responsible for the custody and proper use of the seal. Improper use of the seal may be grounds for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seal appearing on any technical submission establishes prima facie evidence that said technical submission was prepared by or under the responsible charge of the individual named on that seal.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7742C</w:t>
      </w:r>
      <w:r>
        <w:rPr>
          <w:rFonts w:ascii="Times New Roman" w:hAnsi="Times New Roman"/>
          <w:b w:val="false"/>
          <w:i w:val="false"/>
          <w:color w:val="000000"/>
          <w:sz w:val="16"/>
        </w:rPr>
        <w:t>, IAB 4/3/24, effective 5/8/24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This rule is intended to implement Iowa Code chapter </w:t>
      </w:r>
      <w:hyperlink r:id="rId11">
        <w:r>
          <w:rPr>
            <w:rStyle w:val="Hyperlink"/>
            <w:rFonts w:ascii="Times New Roman" w:hAnsi="Times New Roman"/>
            <w:b w:val="false"/>
            <w:i w:val="false"/>
            <w:color w:val="000000"/>
            <w:sz w:val="22"/>
          </w:rPr>
          <w:t>544C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5/15/07, Notice 3/28/07—published 6/6/07, effective 7/11/07]</w:t>
      </w:r>
    </w:p>
    <w:p>
      <w:pPr>
        <w:spacing w:before="0" w:after="0"/>
        <w:ind w:left="120"/>
        <w:jc w:val="center"/>
      </w:pPr>
      <w:r>
        <w:rPr>
          <w:rFonts w:ascii="Times New Roman" w:hAnsi="Times New Roman"/>
          <w:b w:val="false"/>
          <w:i w:val="false"/>
          <w:color w:val="000000"/>
          <w:sz w:val="21"/>
        </w:rPr>
        <w:t>[Filed ARC 7742C</w:t>
      </w:r>
      <w:r>
        <w:rPr>
          <w:rFonts w:ascii="Times New Roman" w:hAnsi="Times New Roman"/>
          <w:b w:val="false"/>
          <w:i w:val="false"/>
          <w:color w:val="000000"/>
          <w:sz w:val="21"/>
        </w:rPr>
        <w:t xml:space="preserve"> (Notice ARC 7510C, IAB 1/24/24)</w:t>
      </w:r>
      <w:r>
        <w:rPr>
          <w:rFonts w:ascii="Times New Roman" w:hAnsi="Times New Roman"/>
          <w:b w:val="false"/>
          <w:i w:val="false"/>
          <w:color w:val="000000"/>
          <w:sz w:val="21"/>
        </w:rPr>
        <w:t>, IAB 4/3/24, effective 5/8/24]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72C.10.pdf" Type="http://schemas.openxmlformats.org/officeDocument/2006/relationships/hyperlink" Id="rId5"/>
    <Relationship TargetMode="External" Target="https://www.legis.iowa.gov/docs/ico/chapter/544C.pdf" Type="http://schemas.openxmlformats.org/officeDocument/2006/relationships/hyperlink" Id="rId6"/>
    <Relationship TargetMode="External" Target="https://www.legis.iowa.gov/docs/ico/chapter/544C.14.pdf" Type="http://schemas.openxmlformats.org/officeDocument/2006/relationships/hyperlink" Id="rId7"/>
    <Relationship Target="media/document_image_rId8.png" Type="http://schemas.openxmlformats.org/officeDocument/2006/relationships/image" Id="rId8"/>
    <Relationship TargetMode="External" Target="https://www.legis.iowa.gov/docs/ico/chapter/554D.pdf" Type="http://schemas.openxmlformats.org/officeDocument/2006/relationships/hyperlink" Id="rId9"/>
    <Relationship TargetMode="External" Target="https://www.legis.iowa.gov/docs/ico/chapter/554D.103.pdf" Type="http://schemas.openxmlformats.org/officeDocument/2006/relationships/hyperlink" Id="rId10"/>
    <Relationship TargetMode="External" Target="https://www.legis.iowa.gov/docs/ico/chapter/544C.pdf" Type="http://schemas.openxmlformats.org/officeDocument/2006/relationships/hyperlink"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