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CONTINUING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193G—3.1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hour” </w:t>
      </w:r>
      <w:r>
        <w:rPr>
          <w:rFonts w:ascii="Times New Roman" w:hAnsi="Times New Roman"/>
          <w:b w:val="false"/>
          <w:i w:val="false"/>
          <w:color w:val="000000"/>
          <w:sz w:val="22"/>
        </w:rPr>
        <w:t>means one 60-minute clock hour of educational activity of which at least 50 minutes are devoted to instructional content. Where other units of credit are stated for an educational experience (e.g., continuing education units (CEUs)), they will be credited in terms of actual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education” </w:t>
      </w:r>
      <w:r>
        <w:rPr>
          <w:rFonts w:ascii="Times New Roman" w:hAnsi="Times New Roman"/>
          <w:b w:val="false"/>
          <w:i w:val="false"/>
          <w:color w:val="000000"/>
          <w:sz w:val="22"/>
        </w:rPr>
        <w:t>means any education process based on the geographical separation of student and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“HSW subjects” </w:t>
      </w:r>
      <w:r>
        <w:rPr>
          <w:rFonts w:ascii="Times New Roman" w:hAnsi="Times New Roman"/>
          <w:b w:val="false"/>
          <w:i w:val="false"/>
          <w:color w:val="000000"/>
          <w:sz w:val="22"/>
        </w:rPr>
        <w:t>means subjects that relate to the planning and designing of spaces and elements to minimize the risk of injury to persons or property. Such subjects include compliance with applicable building and safety codes, the planning and designing of spaces and elements that optimize over time the physically and mentally healthful use of those spaces and elements, and the planning and designing of spaces and elements that are durable, maintainable, cost-effective, environmentally conscientious and conservative of resources; that function properly in all relevant respects; that encourage access, functional independence and use by all relevant populations; that encourage user satisfaction, including aesthetic appeal; that promote a sense of user confidence and peace of mind; that integrate effectively with the surrounding environment; and that, in other similar ways, enhance the health, safety and well-being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activity” </w:t>
      </w:r>
      <w:r>
        <w:rPr>
          <w:rFonts w:ascii="Times New Roman" w:hAnsi="Times New Roman"/>
          <w:b w:val="false"/>
          <w:i w:val="false"/>
          <w:color w:val="000000"/>
          <w:sz w:val="22"/>
        </w:rPr>
        <w:t>means a method of interior design-related learning led by a qualified individual and conducted or sponsored by a professional organization, technical organization, industry source or accredited college or university taught in person or through distance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Hours required. Completion of a minimum of ten contact hours in acceptable health, safety and welfare subjects satisfies the continuing education necessary for biennial registration renewal. All hours shall be in structured activity programs and must be acquired during the renewal period. A registrant may carry over up to five contact hours of continuing education credit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may be acquired in any state, provided that the registrant can demonstrate that the program meets the definition of structured activity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who holds a registration in Iowa for less than 12 months from the date of initial registration is not required to report continuing education at the first registration renewal. A registered interior designer who holds a registration in Iowa for 12 months or more, but less than 24 months from the date of initial registration, will report five contact hours of HSW subjects in a structured activity, earned in the preceding 12 months, at the first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Credit may not be claimed for any activity required as part of a registered interior designer’s routine professional responsibilities. Structured activities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any program or course sponsored by a professional or technical organization or industry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seminar, lecture, presentation, workshop, webinar or similar formal educational program. Credit is allowed at a maximum of three preparation hours for each class hour spent for actual presentation, valid for the initial presentation only. College and university faculty may not claim contact or preparation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that is formally presented to the profession or public. Credit is allowed at a maximum of four contact hours per reporting period and shall be valid for the initial presentation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college or university credit courses dealing with interior-design-related subjects. Each semester hour equals 15 contact hours. A quarter hour equals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Approved continuing education. The board does not preapprove continuing education activities or courses; however, acceptable HSW subjects that enhance the health, safety, and well-being of the public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safety, ADA, and other building and safety codes, standards and administrative regulations governing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Topics that relate to human physiology, perception, anthropometrics, ergonomics, psychology, sociology, ecology and 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Accessibility and universal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Materials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Building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Statutes and rules relating to interior design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Legal aspects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documents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renewal may be requested to provide, in such manner and at such time as prescribed by the board, a signed statement, under penalty of perjury, on forms provided by the board, setting forth the continuing education in which the registrant has participated.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is requested to provide a listing of the continuing education completed for structured activities, the information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or a description of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information submitted by registrants. If an application for renewal is not approved, the applicant will be notified and may be granted a period of time by the board in which to correct the deficiencies noted. Any discrepancy between the number of CEUs reported and the number of CEUs actually supported by documentation may result in a disciplinary review. If, after the disciplinary review, the board disallows any CEUs, or the registrant has failed to complete the required CEUs, the interior designer has 60 days from notification by the board to either provide further evidence of having completed the CEUs disallowed or remedy the discrepancy by completing the required number of CEUs (provided that such CEUs shall not again be used for the next renewal). An extension of time may be granted on an individual basis if requested by the registrant within 30 days of notification by the board. If the registrant fails to comply with the requirements of this subrule, the registrant may be subject to disciplinary action. If the board finds, after proper notice and hearing, that the interior designer willfully disregarded these requirements or falsified documentation of required CEUs, the interior designer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maintaining verification of claimed credit for a minimum of five years subsequent to submission of the report to the board office. Acceptable verification may be presented with a course completion certificate or a college transcript.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193G—3.4</w:t>
      </w:r>
      <w:r>
        <w:rPr>
          <w:rFonts w:ascii="Times New Roman" w:hAnsi="Times New Roman"/>
          <w:b/>
          <w:i w:val="false"/>
          <w:color w:val="000000"/>
          <w:sz w:val="22"/>
        </w:rPr>
        <w:t xml:space="preserve">(17A,544C)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registered interior designer  is deemed to have complied with the continuing education requirements set forth in this chapter if during the continuing education compliance period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registered interior design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registered interior designer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have authority to make exceptions for reasons of individual hardship, including health (certified by a medical doctor) or other good cause. See </w:t>
      </w:r>
      <w:hyperlink r:id="rId6">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9/7/07, Notice 7/18/07—published 9/26/07, effective 10/31/07]</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9025C</w:t>
      </w:r>
      <w:r>
        <w:rPr>
          <w:rFonts w:ascii="Times New Roman" w:hAnsi="Times New Roman"/>
          <w:b w:val="false"/>
          <w:i w:val="false"/>
          <w:color w:val="000000"/>
          <w:sz w:val="21"/>
        </w:rPr>
        <w:t xml:space="preserve"> (Notice ARC 8550C, IAB 12/25/24)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ac/chapter/193.5.pdf" Type="http://schemas.openxmlformats.org/officeDocument/2006/relationships/hyperlink" Id="rId6"/>
    <Relationship TargetMode="External" Target="https://www.legis.iowa.gov/docs/ico/chapter/544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