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CERTIFIED GENERAL APPRAISER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EDUCATION REQUIREMENTS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6/24/09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SUPERVISOR RESPONSIBILITIES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7850C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ENFORCEMENT PROCEEDINGS AGAINST NONLICENSEES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7855C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SUPERINTENDENT SUPERVISION STANDARDS AND PROCEDURES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7857C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INVESTIGATORY SUBPOENAS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7859C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DENIAL OF ISSUANCE OR RENEWAL, SUSPENSION, OR REVOCATION OF LICENSE FOR NONPAYMENT OF CHILD SUPPORT OR STATE DEBT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7860C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7861C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7862C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SALES AND LEASES OF GOODS AND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7863C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7864C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MILITARY SERVICE, VETERAN RECIPROCITY, AND LICENSURE OF PERSONS LICENSED IN OTHER JURISDICTIONS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LICENSEE REVIEW COMMITTEE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IMPAIRED LICENSEE RECOVERY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7866C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SOCIAL SECURITY NUMBERS AND PROOF OF LEGAL PRESENCE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7867C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VENDOR APPEALS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7868C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