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380</w:t>
      </w:r>
    </w:p>
    <w:p>
      <w:pPr>
        <w:spacing w:before="0" w:after="0"/>
        <w:ind w:left="120"/>
        <w:jc w:val="center"/>
      </w:pPr>
      <w:r>
        <w:rPr>
          <w:rFonts w:ascii="Times New Roman" w:hAnsi="Times New Roman"/>
          <w:b w:val="false"/>
          <w:i w:val="false"/>
          <w:color w:val="000000"/>
          <w:sz w:val="21"/>
        </w:rPr>
        <w:t>MOTOR VEHICLES OPERATED BY AN AUTOMATED DRIVING SYSTEM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4/23/30</w:t>
      </w:r>
    </w:p>
    <w:p>
      <w:pPr>
        <w:spacing w:before="0" w:after="0"/>
        <w:ind w:left="120"/>
        <w:jc w:val="both"/>
      </w:pPr>
      <w:r>
        <w:rPr>
          <w:rFonts w:ascii="Times New Roman" w:hAnsi="Times New Roman"/>
          <w:b/>
          <w:i w:val="false"/>
          <w:color w:val="000000"/>
          <w:sz w:val="22"/>
        </w:rPr>
        <w:t>761—380.1</w:t>
      </w:r>
      <w:r>
        <w:rPr>
          <w:rFonts w:ascii="Times New Roman" w:hAnsi="Times New Roman"/>
          <w:b/>
          <w:i w:val="false"/>
          <w:color w:val="000000"/>
          <w:sz w:val="22"/>
        </w:rPr>
        <w:t xml:space="preserve">(321) </w:t>
      </w:r>
      <w:r>
        <w:rPr>
          <w:rFonts w:ascii="Times New Roman" w:hAnsi="Times New Roman"/>
          <w:b/>
          <w:i w:val="false"/>
          <w:color w:val="000000"/>
          <w:sz w:val="22"/>
        </w:rPr>
        <w:t xml:space="preserve">Applicability. </w:t>
      </w:r>
      <w:r>
        <w:rPr>
          <w:rFonts w:ascii="Times New Roman" w:hAnsi="Times New Roman"/>
          <w:b w:val="false"/>
          <w:i w:val="false"/>
          <w:color w:val="000000"/>
          <w:sz w:val="22"/>
        </w:rPr>
        <w:t>This chapter applies to driverless-capable motor vehicles operated by an automated driving system.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9011C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761—380.2</w:t>
      </w:r>
      <w:r>
        <w:rPr>
          <w:rFonts w:ascii="Times New Roman" w:hAnsi="Times New Roman"/>
          <w:b/>
          <w:i w:val="false"/>
          <w:color w:val="000000"/>
          <w:sz w:val="22"/>
        </w:rPr>
        <w:t xml:space="preserve">(321)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in Iowa Code section </w:t>
      </w:r>
      <w:hyperlink r:id="rId5">
        <w:r>
          <w:rPr>
            <w:rStyle w:val="Hyperlink"/>
            <w:rFonts w:ascii="Times New Roman" w:hAnsi="Times New Roman"/>
            <w:b w:val="false"/>
            <w:i w:val="false"/>
            <w:color w:val="000000"/>
            <w:sz w:val="22"/>
          </w:rPr>
          <w:t>321.514</w:t>
        </w:r>
      </w:hyperlink>
      <w:r>
        <w:rPr>
          <w:rFonts w:ascii="Times New Roman" w:hAnsi="Times New Roman"/>
          <w:b w:val="false"/>
          <w:i w:val="false"/>
          <w:color w:val="000000"/>
          <w:sz w:val="22"/>
        </w:rPr>
        <w:t xml:space="preserve"> are adopted and incorporated herein. In addition: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“Conventional human driver”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321.514</w:t>
        </w:r>
      </w:hyperlink>
      <w:r>
        <w:rPr>
          <w:rFonts w:ascii="Times New Roman" w:hAnsi="Times New Roman"/>
          <w:b w:val="false"/>
          <w:i w:val="false"/>
          <w:color w:val="000000"/>
          <w:sz w:val="22"/>
        </w:rPr>
        <w:t xml:space="preserve"> but does not include a driverless-capable vehicle passenger.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“Driverless-capable vehicle” </w:t>
      </w:r>
      <w:r>
        <w:rPr>
          <w:rFonts w:ascii="Times New Roman" w:hAnsi="Times New Roman"/>
          <w:b w:val="false"/>
          <w:i w:val="false"/>
          <w:color w:val="000000"/>
          <w:sz w:val="22"/>
        </w:rPr>
        <w:t xml:space="preserve">as defined in Iowa Code section </w:t>
      </w:r>
      <w:hyperlink r:id="rId7">
        <w:r>
          <w:rPr>
            <w:rStyle w:val="Hyperlink"/>
            <w:rFonts w:ascii="Times New Roman" w:hAnsi="Times New Roman"/>
            <w:b w:val="false"/>
            <w:i w:val="false"/>
            <w:color w:val="000000"/>
            <w:sz w:val="22"/>
          </w:rPr>
          <w:t>321.514</w:t>
        </w:r>
      </w:hyperlink>
      <w:r>
        <w:rPr>
          <w:rFonts w:ascii="Times New Roman" w:hAnsi="Times New Roman"/>
          <w:b w:val="false"/>
          <w:i w:val="false"/>
          <w:color w:val="000000"/>
          <w:sz w:val="22"/>
        </w:rPr>
        <w:t xml:space="preserve"> means the vehicle meets the criteria for automation classification of Level 3, Level 4, or Level 5 as established in the April 30, 2021, edition of “Taxonomy and Definitions for Terms Related to Driving Automated Systems for On-Road Motor Vehicles” by the Society of Automotive Engineers (SAE), which is accessible by web link on the department’s website listed under rule </w:t>
      </w:r>
      <w:hyperlink r:id="rId8">
        <w:r>
          <w:rPr>
            <w:rStyle w:val="Hyperlink"/>
            <w:rFonts w:ascii="Times New Roman" w:hAnsi="Times New Roman"/>
            <w:b w:val="false"/>
            <w:i w:val="false"/>
            <w:color w:val="000000"/>
            <w:sz w:val="22"/>
          </w:rPr>
          <w:t>761—380.3</w:t>
        </w:r>
      </w:hyperlink>
      <w:r>
        <w:rPr>
          <w:rFonts w:ascii="Times New Roman" w:hAnsi="Times New Roman"/>
          <w:b w:val="false"/>
          <w:i w:val="false"/>
          <w:color w:val="000000"/>
          <w:sz w:val="22"/>
        </w:rPr>
        <w:t>(321).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“Driverless-capable vehicle passenger” </w:t>
      </w:r>
      <w:r>
        <w:rPr>
          <w:rFonts w:ascii="Times New Roman" w:hAnsi="Times New Roman"/>
          <w:b w:val="false"/>
          <w:i w:val="false"/>
          <w:color w:val="000000"/>
          <w:sz w:val="22"/>
        </w:rPr>
        <w:t>means a person who does not control the in-vehicle accelerating, braking, steering, and transmission gear selection input devices in order to operate a motor vehicle and who is not otherwise expected to respond to a request to intervene issued by the automated driving system of a driverless-capable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“SAE” </w:t>
      </w:r>
      <w:r>
        <w:rPr>
          <w:rFonts w:ascii="Times New Roman" w:hAnsi="Times New Roman"/>
          <w:b w:val="false"/>
          <w:i w:val="false"/>
          <w:color w:val="000000"/>
          <w:sz w:val="22"/>
        </w:rPr>
        <w:t>means the Society of Automotive Engineers, which is an international association reputed for its standards development efforts, including its efforts to standardize definitions of driving automation systems.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9011C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761—380.3</w:t>
      </w:r>
      <w:r>
        <w:rPr>
          <w:rFonts w:ascii="Times New Roman" w:hAnsi="Times New Roman"/>
          <w:b/>
          <w:i w:val="false"/>
          <w:color w:val="000000"/>
          <w:sz w:val="22"/>
        </w:rPr>
        <w:t xml:space="preserve">(321) </w:t>
      </w:r>
      <w:r>
        <w:rPr>
          <w:rFonts w:ascii="Times New Roman" w:hAnsi="Times New Roman"/>
          <w:b/>
          <w:i w:val="false"/>
          <w:color w:val="000000"/>
          <w:sz w:val="22"/>
        </w:rPr>
        <w:t xml:space="preserve">Information and addresses. </w:t>
      </w:r>
      <w:r>
        <w:rPr>
          <w:rFonts w:ascii="Times New Roman" w:hAnsi="Times New Roman"/>
          <w:b w:val="false"/>
          <w:i w:val="false"/>
          <w:color w:val="000000"/>
          <w:sz w:val="22"/>
        </w:rPr>
        <w:t xml:space="preserve">Information and forms pertaining to driverless-capable vehicles may be obtained by mail from the Motor Vehicle Division, Iowa Department of Transportation, P.O. Box 9278, Des Moines, Iowa 50306-9278; in person at 6310 SE Convenience Blvd., Ankeny, Iowa; by telephone at 515.237.3156; by email at </w:t>
      </w:r>
      <w:hyperlink r:id="rId9">
        <w:r>
          <w:rPr>
            <w:rStyle w:val="Hyperlink"/>
            <w:rFonts w:ascii="Times New Roman" w:hAnsi="Times New Roman"/>
            <w:b w:val="false"/>
            <w:i w:val="false"/>
            <w:color w:val="000000"/>
            <w:sz w:val="22"/>
            <w:u w:val="single"/>
          </w:rPr>
          <w:t>central.vehicle@iowadot.us</w:t>
        </w:r>
      </w:hyperlink>
      <w:r>
        <w:rPr>
          <w:rFonts w:ascii="Times New Roman" w:hAnsi="Times New Roman"/>
          <w:b w:val="false"/>
          <w:i w:val="false"/>
          <w:color w:val="000000"/>
          <w:sz w:val="22"/>
        </w:rPr>
        <w:t xml:space="preserve">; or on the department’s website at: </w:t>
      </w:r>
      <w:hyperlink r:id="rId10">
        <w:r>
          <w:rPr>
            <w:rStyle w:val="Hyperlink"/>
            <w:rFonts w:ascii="Times New Roman" w:hAnsi="Times New Roman"/>
            <w:b w:val="false"/>
            <w:i w:val="false"/>
            <w:color w:val="000000"/>
            <w:sz w:val="22"/>
            <w:u w:val="single"/>
          </w:rPr>
          <w:t>www.iowadot.gov/automatedtransportation/Policies-Procedures</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9011C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761—380.4</w:t>
      </w:r>
      <w:r>
        <w:rPr>
          <w:rFonts w:ascii="Times New Roman" w:hAnsi="Times New Roman"/>
          <w:b/>
          <w:i w:val="false"/>
          <w:color w:val="000000"/>
          <w:sz w:val="22"/>
        </w:rPr>
        <w:t xml:space="preserve">(321) </w:t>
      </w:r>
      <w:r>
        <w:rPr>
          <w:rFonts w:ascii="Times New Roman" w:hAnsi="Times New Roman"/>
          <w:b/>
          <w:i w:val="false"/>
          <w:color w:val="000000"/>
          <w:sz w:val="22"/>
        </w:rPr>
        <w:t xml:space="preserve">Registration of driverless-capable vehicles.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380.4(1)</w:t>
      </w:r>
      <w:r>
        <w:rPr>
          <w:rFonts w:ascii="Times New Roman" w:hAnsi="Times New Roman"/>
          <w:b w:val="false"/>
          <w:i w:val="false"/>
          <w:color w:val="000000"/>
          <w:sz w:val="22"/>
        </w:rPr>
        <w:t> </w:t>
      </w:r>
      <w:r>
        <w:rPr>
          <w:rFonts w:ascii="Times New Roman" w:hAnsi="Times New Roman"/>
          <w:b w:val="false"/>
          <w:i w:val="false"/>
          <w:color w:val="000000"/>
          <w:sz w:val="22"/>
        </w:rPr>
        <w:t xml:space="preserve">Upon registration of a driverless-capable vehicle under </w:t>
      </w:r>
      <w:hyperlink r:id="rId11">
        <w:r>
          <w:rPr>
            <w:rStyle w:val="Hyperlink"/>
            <w:rFonts w:ascii="Times New Roman" w:hAnsi="Times New Roman"/>
            <w:b w:val="false"/>
            <w:i w:val="false"/>
            <w:color w:val="000000"/>
            <w:sz w:val="22"/>
          </w:rPr>
          <w:t>761—subrule 400.3(16)</w:t>
        </w:r>
      </w:hyperlink>
      <w:r>
        <w:rPr>
          <w:rFonts w:ascii="Times New Roman" w:hAnsi="Times New Roman"/>
          <w:b w:val="false"/>
          <w:i w:val="false"/>
          <w:color w:val="000000"/>
          <w:sz w:val="22"/>
        </w:rPr>
        <w:t xml:space="preserve"> or notification of a vehicle modification under </w:t>
      </w:r>
      <w:hyperlink r:id="rId12">
        <w:r>
          <w:rPr>
            <w:rStyle w:val="Hyperlink"/>
            <w:rFonts w:ascii="Times New Roman" w:hAnsi="Times New Roman"/>
            <w:b w:val="false"/>
            <w:i w:val="false"/>
            <w:color w:val="000000"/>
            <w:sz w:val="22"/>
          </w:rPr>
          <w:t>761—subrule 400.21(5)</w:t>
        </w:r>
      </w:hyperlink>
      <w:r>
        <w:rPr>
          <w:rFonts w:ascii="Times New Roman" w:hAnsi="Times New Roman"/>
          <w:b w:val="false"/>
          <w:i w:val="false"/>
          <w:color w:val="000000"/>
          <w:sz w:val="22"/>
        </w:rPr>
        <w:t xml:space="preserve">, the department will notate the vehicle’s SAE level of automation in the records system established under Iowa Code section </w:t>
      </w:r>
      <w:hyperlink r:id="rId13">
        <w:r>
          <w:rPr>
            <w:rStyle w:val="Hyperlink"/>
            <w:rFonts w:ascii="Times New Roman" w:hAnsi="Times New Roman"/>
            <w:b w:val="false"/>
            <w:i w:val="false"/>
            <w:color w:val="000000"/>
            <w:sz w:val="22"/>
          </w:rPr>
          <w:t>321.31</w:t>
        </w:r>
      </w:hyperlink>
      <w:r>
        <w:rPr>
          <w:rFonts w:ascii="Times New Roman" w:hAnsi="Times New Roman"/>
          <w:b w:val="false"/>
          <w:i w:val="false"/>
          <w:color w:val="000000"/>
          <w:sz w:val="22"/>
        </w:rPr>
        <w:t>. Any changes to the SAE level of automation are to be reported to the department by the vehicle owner, or manufacturer on behalf of the owner.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380.4(2)</w:t>
      </w:r>
      <w:r>
        <w:rPr>
          <w:rFonts w:ascii="Times New Roman" w:hAnsi="Times New Roman"/>
          <w:b w:val="false"/>
          <w:i w:val="false"/>
          <w:color w:val="000000"/>
          <w:sz w:val="22"/>
        </w:rPr>
        <w:t> </w:t>
      </w:r>
      <w:r>
        <w:rPr>
          <w:rFonts w:ascii="Times New Roman" w:hAnsi="Times New Roman"/>
          <w:b w:val="false"/>
          <w:i w:val="false"/>
          <w:color w:val="000000"/>
          <w:sz w:val="22"/>
        </w:rPr>
        <w:t xml:space="preserve">Upon request, the vehicle owner, or manufacturer on behalf of the owner, is to provide to the department the vehicle’s operational design domain and associated operational capabilities, which the department may review to impose operational restrictions as provided in rule </w:t>
      </w:r>
      <w:hyperlink r:id="rId14">
        <w:r>
          <w:rPr>
            <w:rStyle w:val="Hyperlink"/>
            <w:rFonts w:ascii="Times New Roman" w:hAnsi="Times New Roman"/>
            <w:b w:val="false"/>
            <w:i w:val="false"/>
            <w:color w:val="000000"/>
            <w:sz w:val="22"/>
          </w:rPr>
          <w:t>761—400.21</w:t>
        </w:r>
      </w:hyperlink>
      <w:r>
        <w:rPr>
          <w:rFonts w:ascii="Times New Roman" w:hAnsi="Times New Roman"/>
          <w:b w:val="false"/>
          <w:i w:val="false"/>
          <w:color w:val="000000"/>
          <w:sz w:val="22"/>
        </w:rPr>
        <w:t>(321) as a condition of registration of the vehicle. Any subsequent material changes to the vehicle’s operational design domain and associated operational capabilities related to any previously imposed operational restrictions are to be submitted to the department in order to determine whether the previously imposed operational restrictions should be modified or removed as a result of such changes.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9011C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761—380.5</w:t>
      </w:r>
      <w:r>
        <w:rPr>
          <w:rFonts w:ascii="Times New Roman" w:hAnsi="Times New Roman"/>
          <w:b/>
          <w:i w:val="false"/>
          <w:color w:val="000000"/>
          <w:sz w:val="22"/>
        </w:rPr>
        <w:t xml:space="preserve">(17A,321) </w:t>
      </w:r>
      <w:r>
        <w:rPr>
          <w:rFonts w:ascii="Times New Roman" w:hAnsi="Times New Roman"/>
          <w:b/>
          <w:i w:val="false"/>
          <w:color w:val="000000"/>
          <w:sz w:val="22"/>
        </w:rPr>
        <w:t xml:space="preserve">Driverless-capable vehicle exemption.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380.5(1)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 xml:space="preserve">The owner, or manufacturer on behalf of the owner, of a driverless-capable vehicle seeking an exemption under Iowa Code section </w:t>
      </w:r>
      <w:hyperlink r:id="rId15">
        <w:r>
          <w:rPr>
            <w:rStyle w:val="Hyperlink"/>
            <w:rFonts w:ascii="Times New Roman" w:hAnsi="Times New Roman"/>
            <w:b w:val="false"/>
            <w:i w:val="false"/>
            <w:color w:val="000000"/>
            <w:sz w:val="22"/>
          </w:rPr>
          <w:t>321.515(1)</w:t>
        </w:r>
      </w:hyperlink>
      <w:r>
        <w:rPr>
          <w:rFonts w:ascii="Times New Roman" w:hAnsi="Times New Roman"/>
          <w:b w:val="false"/>
          <w:i/>
          <w:color w:val="000000"/>
          <w:sz w:val="22"/>
        </w:rPr>
        <w:t>“b”</w:t>
      </w:r>
      <w:r>
        <w:rPr>
          <w:rFonts w:ascii="Times New Roman" w:hAnsi="Times New Roman"/>
          <w:b w:val="false"/>
          <w:i w:val="false"/>
          <w:color w:val="000000"/>
          <w:sz w:val="22"/>
        </w:rPr>
        <w:t xml:space="preserve"> may apply to the department  to allow driverless operation of the vehicle. Applications are to be made on a form prescribed by the department and are to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Identification of the laws or regulations from which the driverless-capable vehicle is seeking an exemption.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Information describing how the vehicle will be operated under the exemption without posing a safety risk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380.5(2)</w:t>
      </w:r>
      <w:r>
        <w:rPr>
          <w:rFonts w:ascii="Times New Roman" w:hAnsi="Times New Roman"/>
          <w:b w:val="false"/>
          <w:i w:val="false"/>
          <w:color w:val="000000"/>
          <w:sz w:val="22"/>
        </w:rPr>
        <w:t> </w:t>
      </w:r>
      <w:r>
        <w:rPr>
          <w:rFonts w:ascii="Times New Roman" w:hAnsi="Times New Roman"/>
          <w:b w:val="false"/>
          <w:i/>
          <w:color w:val="000000"/>
          <w:sz w:val="22"/>
        </w:rPr>
        <w:t xml:space="preserve">Issuance and display of exemption. </w:t>
      </w:r>
      <w:r>
        <w:rPr>
          <w:rFonts w:ascii="Times New Roman" w:hAnsi="Times New Roman"/>
          <w:b w:val="false"/>
          <w:i w:val="false"/>
          <w:color w:val="000000"/>
          <w:sz w:val="22"/>
        </w:rPr>
        <w:t xml:space="preserve">An exemption may be issued, subject to any operational restrictions as provided under rule </w:t>
      </w:r>
      <w:hyperlink r:id="rId16">
        <w:r>
          <w:rPr>
            <w:rStyle w:val="Hyperlink"/>
            <w:rFonts w:ascii="Times New Roman" w:hAnsi="Times New Roman"/>
            <w:b w:val="false"/>
            <w:i w:val="false"/>
            <w:color w:val="000000"/>
            <w:sz w:val="22"/>
          </w:rPr>
          <w:t>761—400.21</w:t>
        </w:r>
      </w:hyperlink>
      <w:r>
        <w:rPr>
          <w:rFonts w:ascii="Times New Roman" w:hAnsi="Times New Roman"/>
          <w:b w:val="false"/>
          <w:i w:val="false"/>
          <w:color w:val="000000"/>
          <w:sz w:val="22"/>
        </w:rPr>
        <w:t xml:space="preserve">(321), if the department has sufficient information to determine a public safety risk does not exist. The department will provide written notice of the exemption to the vehicle owner, and if applicable, to the manufacturer. The notice shall be maintained at all times in the driverless-capable vehicle and made available for display to any peace officer upon request.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380.5(3)</w:t>
      </w:r>
      <w:r>
        <w:rPr>
          <w:rFonts w:ascii="Times New Roman" w:hAnsi="Times New Roman"/>
          <w:b w:val="false"/>
          <w:i w:val="false"/>
          <w:color w:val="000000"/>
          <w:sz w:val="22"/>
        </w:rPr>
        <w:t> </w:t>
      </w:r>
      <w:r>
        <w:rPr>
          <w:rFonts w:ascii="Times New Roman" w:hAnsi="Times New Roman"/>
          <w:b w:val="false"/>
          <w:i/>
          <w:color w:val="000000"/>
          <w:sz w:val="22"/>
        </w:rPr>
        <w:t xml:space="preserve">Revocation and reinstatement.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may revoke a driverless-capable vehicle exemption in any of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exemption has been issued in conflict with the statutes or rules governing the exemption’s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exemption was issued based on false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there was a violation of Iowa Code sections </w:t>
      </w:r>
      <w:hyperlink r:id="rId17">
        <w:r>
          <w:rPr>
            <w:rStyle w:val="Hyperlink"/>
            <w:rFonts w:ascii="Times New Roman" w:hAnsi="Times New Roman"/>
            <w:b w:val="false"/>
            <w:i w:val="false"/>
            <w:color w:val="000000"/>
            <w:sz w:val="22"/>
          </w:rPr>
          <w:t>321.514</w:t>
        </w:r>
      </w:hyperlink>
      <w:r>
        <w:rPr>
          <w:rFonts w:ascii="Times New Roman" w:hAnsi="Times New Roman"/>
          <w:b w:val="false"/>
          <w:i w:val="false"/>
          <w:color w:val="000000"/>
          <w:sz w:val="22"/>
        </w:rPr>
        <w:t xml:space="preserve"> through </w:t>
      </w:r>
      <w:hyperlink r:id="rId18">
        <w:r>
          <w:rPr>
            <w:rStyle w:val="Hyperlink"/>
            <w:rFonts w:ascii="Times New Roman" w:hAnsi="Times New Roman"/>
            <w:b w:val="false"/>
            <w:i w:val="false"/>
            <w:color w:val="000000"/>
            <w:sz w:val="22"/>
          </w:rPr>
          <w:t>321.519</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761—Chapter 400</w:t>
        </w:r>
      </w:hyperlink>
      <w:r>
        <w:rPr>
          <w:rFonts w:ascii="Times New Roman" w:hAnsi="Times New Roman"/>
          <w:b w:val="false"/>
          <w:i w:val="false"/>
          <w:color w:val="000000"/>
          <w:sz w:val="22"/>
        </w:rPr>
        <w:t xml:space="preserve"> or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the vehicle operating under the exemption is involved in a contributive motor vehicle accident attributable to the automated driving system performance in this or any other state and that accident results in death or serious injury.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If the vehicle is operated in violation of any of the motor vehicle laws of this or any other state that results in death or serious injury.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For incidents occurring outside the state of Iowa, revocation may only occur once the investigation of the incident is completed, and the vehicle’s automated driving system performance was found to be involved in or contributive to a motor vehicle accident that resulted in a death or serious injury. The effective date of the suspension or revocation shall be 20 days after the department has mailed notice of the revocation to the vehicle owner, and manufacturer if applicable, by first class mail. To reinstate the exemption, the vehicle owner, or manufacturer on behalf of the owner, is to reapply for the exemption.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380.5(4)</w:t>
      </w:r>
      <w:r>
        <w:rPr>
          <w:rFonts w:ascii="Times New Roman" w:hAnsi="Times New Roman"/>
          <w:b w:val="false"/>
          <w:i w:val="false"/>
          <w:color w:val="000000"/>
          <w:sz w:val="22"/>
        </w:rPr>
        <w:t> </w:t>
      </w:r>
      <w:r>
        <w:rPr>
          <w:rFonts w:ascii="Times New Roman" w:hAnsi="Times New Roman"/>
          <w:b w:val="false"/>
          <w:i/>
          <w:color w:val="000000"/>
          <w:sz w:val="22"/>
        </w:rPr>
        <w:t xml:space="preserve">Hearings. </w:t>
      </w:r>
      <w:r>
        <w:rPr>
          <w:rFonts w:ascii="Times New Roman" w:hAnsi="Times New Roman"/>
          <w:b w:val="false"/>
          <w:i w:val="false"/>
          <w:color w:val="000000"/>
          <w:sz w:val="22"/>
        </w:rPr>
        <w:t xml:space="preserve">A vehicle owner, or manufacturer on behalf of the owner, whose driverless-capable vehicle exemption has been revoked may contest the revocation in accordance with Iowa Code chapter </w:t>
      </w:r>
      <w:hyperlink r:id="rId2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761—Chapter 13</w:t>
        </w:r>
      </w:hyperlink>
      <w:r>
        <w:rPr>
          <w:rFonts w:ascii="Times New Roman" w:hAnsi="Times New Roman"/>
          <w:b w:val="false"/>
          <w:i w:val="false"/>
          <w:color w:val="000000"/>
          <w:sz w:val="22"/>
        </w:rPr>
        <w:t xml:space="preserve">. The request for a hearing must be submitted to the director of the motor vehicle division at the address in rule </w:t>
      </w:r>
      <w:hyperlink r:id="rId22">
        <w:r>
          <w:rPr>
            <w:rStyle w:val="Hyperlink"/>
            <w:rFonts w:ascii="Times New Roman" w:hAnsi="Times New Roman"/>
            <w:b w:val="false"/>
            <w:i w:val="false"/>
            <w:color w:val="000000"/>
            <w:sz w:val="22"/>
          </w:rPr>
          <w:t>761—380.3</w:t>
        </w:r>
      </w:hyperlink>
      <w:r>
        <w:rPr>
          <w:rFonts w:ascii="Times New Roman" w:hAnsi="Times New Roman"/>
          <w:b w:val="false"/>
          <w:i w:val="false"/>
          <w:color w:val="000000"/>
          <w:sz w:val="22"/>
        </w:rPr>
        <w:t xml:space="preserve">(17A). The request will be deemed timely if it is delivered or postmarked on or before the effective date specified in the notice. The department will stay the revocation for the duration of the hearing proceedings.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9011C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761—380.6</w:t>
      </w:r>
      <w:r>
        <w:rPr>
          <w:rFonts w:ascii="Times New Roman" w:hAnsi="Times New Roman"/>
          <w:b/>
          <w:i w:val="false"/>
          <w:color w:val="000000"/>
          <w:sz w:val="22"/>
        </w:rPr>
        <w:t xml:space="preserve">(321) </w:t>
      </w:r>
      <w:r>
        <w:rPr>
          <w:rFonts w:ascii="Times New Roman" w:hAnsi="Times New Roman"/>
          <w:b/>
          <w:i w:val="false"/>
          <w:color w:val="000000"/>
          <w:sz w:val="22"/>
        </w:rPr>
        <w:t xml:space="preserve">Submission in aggregate. </w:t>
      </w:r>
      <w:r>
        <w:rPr>
          <w:rFonts w:ascii="Times New Roman" w:hAnsi="Times New Roman"/>
          <w:b w:val="false"/>
          <w:i w:val="false"/>
          <w:color w:val="000000"/>
          <w:sz w:val="22"/>
        </w:rPr>
        <w:t xml:space="preserve">Information or application reported or submitted by a manufacturer on behalf of the owner to the department under rule </w:t>
      </w:r>
      <w:hyperlink r:id="rId23">
        <w:r>
          <w:rPr>
            <w:rStyle w:val="Hyperlink"/>
            <w:rFonts w:ascii="Times New Roman" w:hAnsi="Times New Roman"/>
            <w:b w:val="false"/>
            <w:i w:val="false"/>
            <w:color w:val="000000"/>
            <w:sz w:val="22"/>
          </w:rPr>
          <w:t>761—380.4</w:t>
        </w:r>
      </w:hyperlink>
      <w:r>
        <w:rPr>
          <w:rFonts w:ascii="Times New Roman" w:hAnsi="Times New Roman"/>
          <w:b w:val="false"/>
          <w:i w:val="false"/>
          <w:color w:val="000000"/>
          <w:sz w:val="22"/>
        </w:rPr>
        <w:t xml:space="preserve">(321) or rule </w:t>
      </w:r>
      <w:hyperlink r:id="rId24">
        <w:r>
          <w:rPr>
            <w:rStyle w:val="Hyperlink"/>
            <w:rFonts w:ascii="Times New Roman" w:hAnsi="Times New Roman"/>
            <w:b w:val="false"/>
            <w:i w:val="false"/>
            <w:color w:val="000000"/>
            <w:sz w:val="22"/>
          </w:rPr>
          <w:t>761—380.5</w:t>
        </w:r>
      </w:hyperlink>
      <w:r>
        <w:rPr>
          <w:rFonts w:ascii="Times New Roman" w:hAnsi="Times New Roman"/>
          <w:b w:val="false"/>
          <w:i w:val="false"/>
          <w:color w:val="000000"/>
          <w:sz w:val="22"/>
        </w:rPr>
        <w:t>(17A,321) may be reported or submitted in aggregate by vehicle make and model.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9011C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2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sections </w:t>
      </w:r>
      <w:hyperlink r:id="rId26">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 xml:space="preserve">, </w:t>
      </w:r>
      <w:hyperlink r:id="rId27">
        <w:r>
          <w:rPr>
            <w:rStyle w:val="Hyperlink"/>
            <w:rFonts w:ascii="Times New Roman" w:hAnsi="Times New Roman"/>
            <w:b w:val="false"/>
            <w:i w:val="false"/>
            <w:color w:val="000000"/>
            <w:sz w:val="22"/>
          </w:rPr>
          <w:t>321.16</w:t>
        </w:r>
      </w:hyperlink>
      <w:r>
        <w:rPr>
          <w:rFonts w:ascii="Times New Roman" w:hAnsi="Times New Roman"/>
          <w:b w:val="false"/>
          <w:i w:val="false"/>
          <w:color w:val="000000"/>
          <w:sz w:val="22"/>
        </w:rPr>
        <w:t xml:space="preserve">, </w:t>
      </w:r>
      <w:hyperlink r:id="rId28">
        <w:r>
          <w:rPr>
            <w:rStyle w:val="Hyperlink"/>
            <w:rFonts w:ascii="Times New Roman" w:hAnsi="Times New Roman"/>
            <w:b w:val="false"/>
            <w:i w:val="false"/>
            <w:color w:val="000000"/>
            <w:sz w:val="22"/>
          </w:rPr>
          <w:t>321.20</w:t>
        </w:r>
      </w:hyperlink>
      <w:r>
        <w:rPr>
          <w:rFonts w:ascii="Times New Roman" w:hAnsi="Times New Roman"/>
          <w:b w:val="false"/>
          <w:i w:val="false"/>
          <w:color w:val="000000"/>
          <w:sz w:val="22"/>
        </w:rPr>
        <w:t xml:space="preserve">, </w:t>
      </w:r>
      <w:hyperlink r:id="rId29">
        <w:r>
          <w:rPr>
            <w:rStyle w:val="Hyperlink"/>
            <w:rFonts w:ascii="Times New Roman" w:hAnsi="Times New Roman"/>
            <w:b w:val="false"/>
            <w:i w:val="false"/>
            <w:color w:val="000000"/>
            <w:sz w:val="22"/>
          </w:rPr>
          <w:t>321.31</w:t>
        </w:r>
      </w:hyperlink>
      <w:r>
        <w:rPr>
          <w:rFonts w:ascii="Times New Roman" w:hAnsi="Times New Roman"/>
          <w:b w:val="false"/>
          <w:i w:val="false"/>
          <w:color w:val="000000"/>
          <w:sz w:val="22"/>
        </w:rPr>
        <w:t xml:space="preserve">, </w:t>
      </w:r>
      <w:hyperlink r:id="rId30">
        <w:r>
          <w:rPr>
            <w:rStyle w:val="Hyperlink"/>
            <w:rFonts w:ascii="Times New Roman" w:hAnsi="Times New Roman"/>
            <w:b w:val="false"/>
            <w:i w:val="false"/>
            <w:color w:val="000000"/>
            <w:sz w:val="22"/>
          </w:rPr>
          <w:t>321.381</w:t>
        </w:r>
      </w:hyperlink>
      <w:r>
        <w:rPr>
          <w:rFonts w:ascii="Times New Roman" w:hAnsi="Times New Roman"/>
          <w:b w:val="false"/>
          <w:i w:val="false"/>
          <w:color w:val="000000"/>
          <w:sz w:val="22"/>
        </w:rPr>
        <w:t xml:space="preserve">, </w:t>
      </w:r>
      <w:hyperlink r:id="rId31">
        <w:r>
          <w:rPr>
            <w:rStyle w:val="Hyperlink"/>
            <w:rFonts w:ascii="Times New Roman" w:hAnsi="Times New Roman"/>
            <w:b w:val="false"/>
            <w:i w:val="false"/>
            <w:color w:val="000000"/>
            <w:sz w:val="22"/>
          </w:rPr>
          <w:t>321.482</w:t>
        </w:r>
      </w:hyperlink>
      <w:r>
        <w:rPr>
          <w:rFonts w:ascii="Times New Roman" w:hAnsi="Times New Roman"/>
          <w:b w:val="false"/>
          <w:i w:val="false"/>
          <w:color w:val="000000"/>
          <w:sz w:val="22"/>
        </w:rPr>
        <w:t xml:space="preserve">, and </w:t>
      </w:r>
      <w:hyperlink r:id="rId32">
        <w:r>
          <w:rPr>
            <w:rStyle w:val="Hyperlink"/>
            <w:rFonts w:ascii="Times New Roman" w:hAnsi="Times New Roman"/>
            <w:b w:val="false"/>
            <w:i w:val="false"/>
            <w:color w:val="000000"/>
            <w:sz w:val="22"/>
          </w:rPr>
          <w:t>321.514</w:t>
        </w:r>
      </w:hyperlink>
      <w:r>
        <w:rPr>
          <w:rFonts w:ascii="Times New Roman" w:hAnsi="Times New Roman"/>
          <w:b w:val="false"/>
          <w:i w:val="false"/>
          <w:color w:val="000000"/>
          <w:sz w:val="22"/>
        </w:rPr>
        <w:t xml:space="preserve"> through </w:t>
      </w:r>
      <w:hyperlink r:id="rId33">
        <w:r>
          <w:rPr>
            <w:rStyle w:val="Hyperlink"/>
            <w:rFonts w:ascii="Times New Roman" w:hAnsi="Times New Roman"/>
            <w:b w:val="false"/>
            <w:i w:val="false"/>
            <w:color w:val="000000"/>
            <w:sz w:val="22"/>
          </w:rPr>
          <w:t>321.519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5893C</w:t>
      </w:r>
      <w:r>
        <w:rPr>
          <w:rFonts w:ascii="Times New Roman" w:hAnsi="Times New Roman"/>
          <w:b w:val="false"/>
          <w:i w:val="false"/>
          <w:color w:val="000000"/>
          <w:sz w:val="21"/>
        </w:rPr>
        <w:t xml:space="preserve"> (Notice ARC 5621C, IAB 5/19/21)</w:t>
      </w:r>
      <w:r>
        <w:rPr>
          <w:rFonts w:ascii="Times New Roman" w:hAnsi="Times New Roman"/>
          <w:b w:val="false"/>
          <w:i w:val="false"/>
          <w:color w:val="000000"/>
          <w:sz w:val="21"/>
        </w:rPr>
        <w:t>, IAB 9/8/21, effective 10/13/21]</w:t>
      </w:r>
    </w:p>
    <w:p>
      <w:pPr>
        <w:spacing w:before="0" w:after="0"/>
        <w:ind w:left="120"/>
        <w:jc w:val="center"/>
      </w:pPr>
      <w:r>
        <w:rPr>
          <w:rFonts w:ascii="Times New Roman" w:hAnsi="Times New Roman"/>
          <w:b w:val="false"/>
          <w:i w:val="false"/>
          <w:color w:val="000000"/>
          <w:sz w:val="21"/>
        </w:rPr>
        <w:t>[Filed ARC 9011C</w:t>
      </w:r>
      <w:r>
        <w:rPr>
          <w:rFonts w:ascii="Times New Roman" w:hAnsi="Times New Roman"/>
          <w:b w:val="false"/>
          <w:i w:val="false"/>
          <w:color w:val="000000"/>
          <w:sz w:val="21"/>
        </w:rPr>
        <w:t xml:space="preserve"> (Notice ARC 8389C, IAB 11/27/24)</w:t>
      </w:r>
      <w:r>
        <w:rPr>
          <w:rFonts w:ascii="Times New Roman" w:hAnsi="Times New Roman"/>
          <w:b w:val="false"/>
          <w:i w:val="false"/>
          <w:color w:val="000000"/>
          <w:sz w:val="21"/>
        </w:rPr>
        <w:t>, IAB 3/19/25, effective 4/23/25]</w:t>
      </w:r>
    </w:p>
    <w:sectPr>
      <w:pgSz w:w="11907" w:h="16839" w:code="9"/>
      <w:pgMar w:top="1440" w:right="1440" w:bottom="1440" w:left="1440"/>
    </w:sectPr>
  </w:body>
</w:document>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21.514.pdf" Type="http://schemas.openxmlformats.org/officeDocument/2006/relationships/hyperlink" Id="rId5"/>
    <Relationship TargetMode="External" Target="https://www.legis.iowa.gov/docs/ico/chapter/321.514.pdf" Type="http://schemas.openxmlformats.org/officeDocument/2006/relationships/hyperlink" Id="rId6"/>
    <Relationship TargetMode="External" Target="https://www.legis.iowa.gov/docs/ico/chapter/321.514.pdf" Type="http://schemas.openxmlformats.org/officeDocument/2006/relationships/hyperlink" Id="rId7"/>
    <Relationship TargetMode="External" Target="https://www.legis.iowa.gov/docs/iac/rule/761.380.3.pdf" Type="http://schemas.openxmlformats.org/officeDocument/2006/relationships/hyperlink" Id="rId8"/>
    <Relationship TargetMode="External" Target="mailto:central.vehicle@iowadot.us" Type="http://schemas.openxmlformats.org/officeDocument/2006/relationships/hyperlink" Id="rId9"/>
    <Relationship TargetMode="External" Target="http://www.iowadot.gov/automatedtransportation/Policies-Procedures" Type="http://schemas.openxmlformats.org/officeDocument/2006/relationships/hyperlink" Id="rId10"/>
    <Relationship TargetMode="External" Target="https://www.legis.iowa.gov/docs/iac/rule/761.400.3.pdf" Type="http://schemas.openxmlformats.org/officeDocument/2006/relationships/hyperlink" Id="rId11"/>
    <Relationship TargetMode="External" Target="https://www.legis.iowa.gov/docs/iac/rule/761.400.21.pdf" Type="http://schemas.openxmlformats.org/officeDocument/2006/relationships/hyperlink" Id="rId12"/>
    <Relationship TargetMode="External" Target="https://www.legis.iowa.gov/docs/ico/chapter/321.31.pdf" Type="http://schemas.openxmlformats.org/officeDocument/2006/relationships/hyperlink" Id="rId13"/>
    <Relationship TargetMode="External" Target="https://www.legis.iowa.gov/docs/iac/rule/761.400.21.pdf" Type="http://schemas.openxmlformats.org/officeDocument/2006/relationships/hyperlink" Id="rId14"/>
    <Relationship TargetMode="External" Target="https://www.legis.iowa.gov/docs/ico/chapter/321.515.pdf" Type="http://schemas.openxmlformats.org/officeDocument/2006/relationships/hyperlink" Id="rId15"/>
    <Relationship TargetMode="External" Target="https://www.legis.iowa.gov/docs/iac/rule/761.400.21.pdf" Type="http://schemas.openxmlformats.org/officeDocument/2006/relationships/hyperlink" Id="rId16"/>
    <Relationship TargetMode="External" Target="https://www.legis.iowa.gov/docs/ico/chapter/321.514.pdf" Type="http://schemas.openxmlformats.org/officeDocument/2006/relationships/hyperlink" Id="rId17"/>
    <Relationship TargetMode="External" Target="https://www.legis.iowa.gov/docs/ico/chapter/321.519.pdf" Type="http://schemas.openxmlformats.org/officeDocument/2006/relationships/hyperlink" Id="rId18"/>
    <Relationship TargetMode="External" Target="https://www.legis.iowa.gov/docs/iac/chapter/761.400.pdf" Type="http://schemas.openxmlformats.org/officeDocument/2006/relationships/hyperlink" Id="rId19"/>
    <Relationship TargetMode="External" Target="https://www.legis.iowa.gov/docs/ico/chapter/17A.pdf" Type="http://schemas.openxmlformats.org/officeDocument/2006/relationships/hyperlink" Id="rId20"/>
    <Relationship TargetMode="External" Target="https://www.legis.iowa.gov/docs/iac/chapter/761.13.pdf" Type="http://schemas.openxmlformats.org/officeDocument/2006/relationships/hyperlink" Id="rId21"/>
    <Relationship TargetMode="External" Target="https://www.legis.iowa.gov/docs/iac/rule/761.380.3.pdf" Type="http://schemas.openxmlformats.org/officeDocument/2006/relationships/hyperlink" Id="rId22"/>
    <Relationship TargetMode="External" Target="https://www.legis.iowa.gov/docs/iac/rule/761.380.4.pdf" Type="http://schemas.openxmlformats.org/officeDocument/2006/relationships/hyperlink" Id="rId23"/>
    <Relationship TargetMode="External" Target="https://www.legis.iowa.gov/docs/iac/rule/761.380.5.pdf" Type="http://schemas.openxmlformats.org/officeDocument/2006/relationships/hyperlink" Id="rId24"/>
    <Relationship TargetMode="External" Target="https://www.legis.iowa.gov/docs/ico/chapter/17A.pdf" Type="http://schemas.openxmlformats.org/officeDocument/2006/relationships/hyperlink" Id="rId25"/>
    <Relationship TargetMode="External" Target="https://www.legis.iowa.gov/docs/ico/chapter/321.1.pdf" Type="http://schemas.openxmlformats.org/officeDocument/2006/relationships/hyperlink" Id="rId26"/>
    <Relationship TargetMode="External" Target="https://www.legis.iowa.gov/docs/ico/chapter/321.16.pdf" Type="http://schemas.openxmlformats.org/officeDocument/2006/relationships/hyperlink" Id="rId27"/>
    <Relationship TargetMode="External" Target="https://www.legis.iowa.gov/docs/ico/chapter/321.20.pdf" Type="http://schemas.openxmlformats.org/officeDocument/2006/relationships/hyperlink" Id="rId28"/>
    <Relationship TargetMode="External" Target="https://www.legis.iowa.gov/docs/ico/chapter/321.31.pdf" Type="http://schemas.openxmlformats.org/officeDocument/2006/relationships/hyperlink" Id="rId29"/>
    <Relationship TargetMode="External" Target="https://www.legis.iowa.gov/docs/ico/chapter/321.381.pdf" Type="http://schemas.openxmlformats.org/officeDocument/2006/relationships/hyperlink" Id="rId30"/>
    <Relationship TargetMode="External" Target="https://www.legis.iowa.gov/docs/ico/chapter/321.482.pdf" Type="http://schemas.openxmlformats.org/officeDocument/2006/relationships/hyperlink" Id="rId31"/>
    <Relationship TargetMode="External" Target="https://www.legis.iowa.gov/docs/ico/chapter/321.514.pdf" Type="http://schemas.openxmlformats.org/officeDocument/2006/relationships/hyperlink" Id="rId32"/>
    <Relationship TargetMode="External" Target="https://www.legis.iowa.gov/docs/ico/chapter/321.519.pdf" Type="http://schemas.openxmlformats.org/officeDocument/2006/relationships/hyperlink" Id="rId3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