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FORMS AND COMMUNICATIONS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701—8.1</w:t>
      </w:r>
      <w:r>
        <w:rPr>
          <w:rFonts w:ascii="Times New Roman" w:hAnsi="Times New Roman"/>
          <w:b/>
          <w:i w:val="false"/>
          <w:color w:val="000000"/>
          <w:sz w:val="22"/>
        </w:rPr>
        <w:t xml:space="preserve">(421)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means any method of transfer of data, information, or money by any conduit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form” </w:t>
      </w:r>
      <w:r>
        <w:rPr>
          <w:rFonts w:ascii="Times New Roman" w:hAnsi="Times New Roman"/>
          <w:b w:val="false"/>
          <w:i w:val="false"/>
          <w:color w:val="000000"/>
          <w:sz w:val="22"/>
        </w:rPr>
        <w:t>means a form that is distributed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means any overall physical arrangement and general layout of communications, using any method of communication, related to tax, alcohol or other administration and prescribed by the director or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federal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“Substitute form” </w:t>
      </w:r>
      <w:r>
        <w:rPr>
          <w:rFonts w:ascii="Times New Roman" w:hAnsi="Times New Roman"/>
          <w:b w:val="false"/>
          <w:i w:val="false"/>
          <w:color w:val="000000"/>
          <w:sz w:val="22"/>
        </w:rPr>
        <w:t>means a form that is intended to replace a department form.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701—8.2</w:t>
      </w:r>
      <w:r>
        <w:rPr>
          <w:rFonts w:ascii="Times New Roman" w:hAnsi="Times New Roman"/>
          <w:b/>
          <w:i w:val="false"/>
          <w:color w:val="000000"/>
          <w:sz w:val="22"/>
        </w:rPr>
        <w:t xml:space="preserve">(421) </w:t>
      </w:r>
      <w:r>
        <w:rPr>
          <w:rFonts w:ascii="Times New Roman" w:hAnsi="Times New Roman"/>
          <w:b/>
          <w:i w:val="false"/>
          <w:color w:val="000000"/>
          <w:sz w:val="22"/>
        </w:rPr>
        <w:t xml:space="preserve">Department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Department forms may be available in electronic format, on paper, or in other formats as prescribed by the director. Communications with the department, for which department forms have been created, shall be carried out using those forms or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department forms. </w:t>
      </w:r>
      <w:r>
        <w:rPr>
          <w:rFonts w:ascii="Times New Roman" w:hAnsi="Times New Roman"/>
          <w:b w:val="false"/>
          <w:i w:val="false"/>
          <w:color w:val="000000"/>
          <w:sz w:val="22"/>
        </w:rPr>
        <w:t>Each direction of every instruction contained within or accompanying department forms shall be followed, and each question within or accompanying every form shall be answered as if the instructions and forms were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Obtaining department forms. </w:t>
      </w:r>
      <w:r>
        <w:rPr>
          <w:rFonts w:ascii="Times New Roman" w:hAnsi="Times New Roman"/>
          <w:b w:val="false"/>
          <w:i w:val="false"/>
          <w:color w:val="000000"/>
          <w:sz w:val="22"/>
        </w:rPr>
        <w:t xml:space="preserve">Department forms and instructions may be obtained from Taxpayer Services, Iowa Department of Revenue, Hoover State Office Building, P.O. Box 10457, Des Moines, Iowa 50306-0457; by telephoning 800.367.3388 or 515.281.3114; or on the department’s website at </w:t>
      </w:r>
      <w:hyperlink r:id="rId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Filing department forms. </w:t>
      </w:r>
      <w:r>
        <w:rPr>
          <w:rFonts w:ascii="Times New Roman" w:hAnsi="Times New Roman"/>
          <w:b w:val="false"/>
          <w:i w:val="false"/>
          <w:color w:val="000000"/>
          <w:sz w:val="22"/>
        </w:rPr>
        <w:t>A department form may be filed with the department as directed on the department form or in the corresponding instructions. Filing a department form using any other method requires prior approval from the department. Attempting to file a department form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r>
        <w:rPr>
          <w:rFonts w:ascii="Times New Roman" w:hAnsi="Times New Roman"/>
          <w:b w:val="false"/>
          <w:i w:val="false"/>
          <w:color w:val="000000"/>
          <w:sz w:val="22"/>
        </w:rPr>
        <w:t xml:space="preserve">No prior approval is necessary for electronic reporting when the reporting is in accordance with department policy. Any other electronic reporting of a department form requires department approval unless otherwise authorized. Electronic reporting may be required for certain taxpayers and tax types. Additional information regarding electronic reporting for income taxes is available at </w:t>
      </w:r>
      <w:hyperlink r:id="rId8">
        <w:r>
          <w:rPr>
            <w:rStyle w:val="Hyperlink"/>
            <w:rFonts w:ascii="Times New Roman" w:hAnsi="Times New Roman"/>
            <w:b w:val="false"/>
            <w:i w:val="false"/>
            <w:color w:val="000000"/>
            <w:sz w:val="22"/>
            <w:u w:val="single"/>
          </w:rPr>
          <w:t>iowaforms.gov</w:t>
        </w:r>
      </w:hyperlink>
      <w:r>
        <w:rPr>
          <w:rFonts w:ascii="Times New Roman" w:hAnsi="Times New Roman"/>
          <w:b w:val="false"/>
          <w:i w:val="false"/>
          <w:color w:val="000000"/>
          <w:sz w:val="22"/>
        </w:rPr>
        <w:t>. Electronic forms for other tax types administered by the department are available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Unless expressly prohibited by state or federal law, a return, application, or other form may be submitted using an original signature, or a copy or facsimile of a signature. For purposes of this rule, “copy or facsimile of a signature” may be a copy or facsimile of an original signature or a copy or facsimile of an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filings. </w:t>
      </w:r>
      <w:r>
        <w:rPr>
          <w:rFonts w:ascii="Times New Roman" w:hAnsi="Times New Roman"/>
          <w:b w:val="false"/>
          <w:i w:val="false"/>
          <w:color w:val="000000"/>
          <w:sz w:val="22"/>
        </w:rPr>
        <w:t xml:space="preserve">For income tax returns submitted through the IRS e-file program, see rule </w:t>
      </w:r>
      <w:hyperlink r:id="rId9">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 For all other returns, applications, or other documents, the following applies. Unless expressly prohibited by state or federal law, a return, application or other form accepted by the department as filed by email or other electronic means may be submitted using an electronic signature or a signature designated by the department in lieu of a handwritten signature. For purposes of this rule, “electronic signature” means an electronic sound, symbol, or process attached to or logically associated with a tax return, application, or other document filed with the department and executed or adopted by a person with the intent to sign the return, application, or other document filed with the department. Electronic signatures appear in many forms and may be created by many different technologies. No specific technology is required. For purposes of this rule, “signature designated by the department” means a symbol or other information that is provided by the department to the taxpayer or the taxpayer’s representative and is to serve instead of the handwritten signature of the taxpayer. In a situation where the taxpayer or the taxpayer’s representative has submitted a return, application, or other document to the department by email, GovConnectIowa, or other electronic means with an electronic signature or signature designated by the department, the department will collect information from the signator to establish the signator’s identity.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423.31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450.53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453A.14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701—8.3</w:t>
      </w:r>
      <w:r>
        <w:rPr>
          <w:rFonts w:ascii="Times New Roman" w:hAnsi="Times New Roman"/>
          <w:b/>
          <w:i w:val="false"/>
          <w:color w:val="000000"/>
          <w:sz w:val="22"/>
        </w:rPr>
        <w:t xml:space="preserve">(421) </w:t>
      </w:r>
      <w:r>
        <w:rPr>
          <w:rFonts w:ascii="Times New Roman" w:hAnsi="Times New Roman"/>
          <w:b/>
          <w:i w:val="false"/>
          <w:color w:val="000000"/>
          <w:sz w:val="22"/>
        </w:rPr>
        <w:t xml:space="preserve">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A substitute form may be in electronic format, on paper, or created using other media for communication. Approval shall be obtained prior to the use of any substitute form, unless otherwise noted in this rule. The director may change any department form without providing notice to users of any substitute form. The director may require use of department forms in communications with the department concerning tax administration or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Types of substitute forms. </w:t>
      </w:r>
      <w:r>
        <w:rPr>
          <w:rFonts w:ascii="Times New Roman" w:hAnsi="Times New Roman"/>
          <w:b w:val="false"/>
          <w:i w:val="false"/>
          <w:color w:val="000000"/>
          <w:sz w:val="22"/>
        </w:rPr>
        <w:t>Many types of forms may, upon approval when necessary, be substituted for department forms. Descriptions of a partial list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Reproduced forms. </w:t>
      </w:r>
      <w:r>
        <w:rPr>
          <w:rFonts w:ascii="Times New Roman" w:hAnsi="Times New Roman"/>
          <w:b w:val="false"/>
          <w:i w:val="false"/>
          <w:color w:val="000000"/>
          <w:sz w:val="22"/>
        </w:rPr>
        <w:t>A reproduced form is a legible photocopy or an exact copy of a department form. A reproduced form may be used without prior approval of the department if the reproduced form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the department form in size or any other format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rule prohibits the reproduction of the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criteria stated elsewhere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forms. </w:t>
      </w:r>
      <w:r>
        <w:rPr>
          <w:rFonts w:ascii="Times New Roman" w:hAnsi="Times New Roman"/>
          <w:b w:val="false"/>
          <w:i w:val="false"/>
          <w:color w:val="000000"/>
          <w:sz w:val="22"/>
        </w:rPr>
        <w:t>A replacement form is produced by imagery or otherwise replicated using the department form as a model, but it is not an exact copy of a department form. A form that is created in its entirety, including layout, by computer is a replacement form. A replacement form may include modifications, such as line enlargement or copy deletion. A replacement form must receive department approval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forms. </w:t>
      </w:r>
      <w:r>
        <w:rPr>
          <w:rFonts w:ascii="Times New Roman" w:hAnsi="Times New Roman"/>
          <w:b w:val="false"/>
          <w:i w:val="false"/>
          <w:color w:val="000000"/>
          <w:sz w:val="22"/>
        </w:rPr>
        <w:t>A federal form is a form that is distributed by the IRS. A federal form, or its alternate, may be used without department approval if the form is approved for federal use and Iowa tax instructions or other administrative instructions authorize or require the use of the federal form in lieu of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developer of a substitute form must register with the department by submitting the Registration for Substitute Forms and Barcode Approval. Each registration is valid for one tax year only. Failure to register with the department may, at the discretion of the director, result in the rejection of the developer’s forms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Once registered, the developer of a substitute form must request department approval of the form, unless approval is not necessary. The developer may request department approval by submitting a PDF of the form to </w:t>
      </w:r>
      <w:hyperlink r:id="rId19">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 Those forms listed on the Iowa Substitute Forms Checklist, which is provided with the Registration for Substitute Forms and Barcode Approval, should be submitted for approval. If doubt exists about the need for approval of a particular substitute form, the form should be submitted for consideration. Attempting to file an unapproved substitute form with the department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Quality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 xml:space="preserve">All substitute forms must, to the extent practicable, reflect the same size, color, content, design, and legibility as department forms posted on the department’s website at </w:t>
      </w:r>
      <w:hyperlink r:id="rId20">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Printed substitute forms. </w:t>
      </w:r>
      <w:r>
        <w:rPr>
          <w:rFonts w:ascii="Times New Roman" w:hAnsi="Times New Roman"/>
          <w:b w:val="false"/>
          <w:i w:val="false"/>
          <w:color w:val="000000"/>
          <w:sz w:val="22"/>
        </w:rPr>
        <w:t>When printed on paper, a substitute form must use only black ink or black imaging material, unless the corresponding department form indicates otherwise. A printed substitute form generally must be printed on 20-pound white paper stock with a brightness rating of at least 92 on the TAPPI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Distinctive markings and symbols. </w:t>
      </w:r>
      <w:r>
        <w:rPr>
          <w:rFonts w:ascii="Times New Roman" w:hAnsi="Times New Roman"/>
          <w:b w:val="false"/>
          <w:i w:val="false"/>
          <w:color w:val="000000"/>
          <w:sz w:val="22"/>
        </w:rPr>
        <w:t>A department form may contain distinctive symbols. These symbols must be reproduced on any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Filing substitute forms. </w:t>
      </w:r>
      <w:r>
        <w:rPr>
          <w:rFonts w:ascii="Times New Roman" w:hAnsi="Times New Roman"/>
          <w:b w:val="false"/>
          <w:i w:val="false"/>
          <w:color w:val="000000"/>
          <w:sz w:val="22"/>
        </w:rPr>
        <w:t>A substitute form may be filed with the department as directed on the corresponding department form or instructions or by any other method approved by the department. Attempting to file a substitute form with the department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and electronic reporting. </w:t>
      </w:r>
      <w:r>
        <w:rPr>
          <w:rFonts w:ascii="Times New Roman" w:hAnsi="Times New Roman"/>
          <w:b w:val="false"/>
          <w:i w:val="false"/>
          <w:color w:val="000000"/>
          <w:sz w:val="22"/>
        </w:rPr>
        <w:t xml:space="preserve">Submitting a substitute form on removable media, such as compact disc, requires prior approval from the department. No prior approval is necessary for electronic reporting when the reporting is in accordance with department policy. Any electronic reporting of a substitute form requires department approval, unless otherwise authorized. Additional information regarding electronic reporting is available at Processing Services, P.O. Box 10413, Des Moines, Iowa 50306; or by email at </w:t>
      </w:r>
      <w:hyperlink r:id="rId21">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701—8.4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701—8.5</w:t>
      </w:r>
      <w:r>
        <w:rPr>
          <w:rFonts w:ascii="Times New Roman" w:hAnsi="Times New Roman"/>
          <w:b/>
          <w:i w:val="false"/>
          <w:color w:val="000000"/>
          <w:sz w:val="22"/>
        </w:rPr>
        <w:t xml:space="preserve">(422) </w:t>
      </w:r>
      <w:r>
        <w:rPr>
          <w:rFonts w:ascii="Times New Roman" w:hAnsi="Times New Roman"/>
          <w:b/>
          <w:i w:val="false"/>
          <w:color w:val="000000"/>
          <w:sz w:val="22"/>
        </w:rPr>
        <w:t xml:space="preserve">Electronic filing of Iowa income tax returns. </w:t>
      </w:r>
      <w:r>
        <w:rPr>
          <w:rFonts w:ascii="Times New Roman" w:hAnsi="Times New Roman"/>
          <w:b w:val="false"/>
          <w:i w:val="false"/>
          <w:color w:val="000000"/>
          <w:sz w:val="22"/>
        </w:rPr>
        <w:t>There is no statutory requirement that individual income taxpayers file their Iowa income tax returns electronically. Some businesses, estates, and trusts may be required to file Iowa tax returns electronically. Taxpayers not subject to an electronic filing requirement also have the option to file by paper. When a taxpayer files an electronic return, all information related to the return should be electronically transmitted through an approved channel. No information is to be submitted on paper unless specifically requested by the department. A taxpayer’s electronic Iowa return shall include the same information as if the taxpayer had filed a paper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means a report generated by the department and sent electronically to a transmitter via the IRS indicating the department’s acceptance or rejection of an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for e-File Return form” </w:t>
      </w:r>
      <w:r>
        <w:rPr>
          <w:rFonts w:ascii="Times New Roman" w:hAnsi="Times New Roman"/>
          <w:b w:val="false"/>
          <w:i w:val="false"/>
          <w:color w:val="000000"/>
          <w:sz w:val="22"/>
        </w:rPr>
        <w:t>means a taxpayer declaration form that authenticates the electronic tax return, authorizes its transmission, and consents to the financial transaction order as designated using the financial institution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debit” </w:t>
      </w:r>
      <w:r>
        <w:rPr>
          <w:rFonts w:ascii="Times New Roman" w:hAnsi="Times New Roman"/>
          <w:b w:val="false"/>
          <w:i w:val="false"/>
          <w:color w:val="000000"/>
          <w:sz w:val="22"/>
        </w:rPr>
        <w:t>means an order for electronic withdrawal of funds from a taxpayer’s financial institution account for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means an order for electronic transfer of a refund into a taxpayer’s financial institution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“E-file provider” </w:t>
      </w:r>
      <w:r>
        <w:rPr>
          <w:rFonts w:ascii="Times New Roman" w:hAnsi="Times New Roman"/>
          <w:b w:val="false"/>
          <w:i w:val="false"/>
          <w:color w:val="000000"/>
          <w:sz w:val="22"/>
        </w:rPr>
        <w:t>means a firm that is assigned an Electronic Filing Identification Number (EFIN) by the IRS to assume any one or more of the following IRS e-file provider roles: electronic return originator, intermediate service provider, transmitter, software developer, or reporting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a paperless filing of the Iowa income tax return, order for financial transaction, or both by way of the IRS e-file program, also known as federal/state electronic filing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return originator”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“ERO” </w:t>
      </w:r>
      <w:r>
        <w:rPr>
          <w:rFonts w:ascii="Times New Roman" w:hAnsi="Times New Roman"/>
          <w:b w:val="false"/>
          <w:i w:val="false"/>
          <w:color w:val="000000"/>
          <w:sz w:val="22"/>
        </w:rPr>
        <w:t>means an authorized IRS e-file provider that originates the electronic submission by any one of the following methods: electronically sending an electronic tax return to a transmitter that will transmit the electronic tax return to the IRS, directly transmitting the electronic tax return to the IRS, or providing the electronic tax return to an Intermediate Service Provider for processing prior to transmission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includes data in electronic form, which is logically associated with other data in electronic form and executed or adopted by a person with the intent to sign a document. This type of signature has the same legal standing as a handwritten signature if the requirements in either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met. Electronic signatures appear in many forms and may be created by many different technologies. No specific technology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service provider” </w:t>
      </w:r>
      <w:r>
        <w:rPr>
          <w:rFonts w:ascii="Times New Roman" w:hAnsi="Times New Roman"/>
          <w:b w:val="false"/>
          <w:i w:val="false"/>
          <w:color w:val="000000"/>
          <w:sz w:val="22"/>
        </w:rPr>
        <w:t>means the firm that assists with processing submission information between the ERO (or the taxpayer in the case of online filing) and a transmitter.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filing” </w:t>
      </w:r>
      <w:r>
        <w:rPr>
          <w:rFonts w:ascii="Times New Roman" w:hAnsi="Times New Roman"/>
          <w:b w:val="false"/>
          <w:i w:val="false"/>
          <w:color w:val="000000"/>
          <w:sz w:val="22"/>
        </w:rPr>
        <w:t>means the process for taxpayers to self-prepare returns by entering return data directly into commercially available software, software downloaded from an Internet site and prepared offline, or through an online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“Origination of an electronic return” </w:t>
      </w:r>
      <w:r>
        <w:rPr>
          <w:rFonts w:ascii="Times New Roman" w:hAnsi="Times New Roman"/>
          <w:b w:val="false"/>
          <w:i w:val="false"/>
          <w:color w:val="000000"/>
          <w:sz w:val="22"/>
        </w:rPr>
        <w:t>means the action by an ERO of electronically sending the return directly to an Intermediate Service Provider, a transmitter, or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agent” </w:t>
      </w:r>
      <w:r>
        <w:rPr>
          <w:rFonts w:ascii="Times New Roman" w:hAnsi="Times New Roman"/>
          <w:b w:val="false"/>
          <w:i w:val="false"/>
          <w:color w:val="000000"/>
          <w:sz w:val="22"/>
        </w:rPr>
        <w:t>means a firm that originates the electronic submission of certain returns for its clients or transmits the returns to the IRS in accordance with the IRS electronic filing procedures,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developer” </w:t>
      </w:r>
      <w:r>
        <w:rPr>
          <w:rFonts w:ascii="Times New Roman" w:hAnsi="Times New Roman"/>
          <w:b w:val="false"/>
          <w:i w:val="false"/>
          <w:color w:val="000000"/>
          <w:sz w:val="22"/>
        </w:rPr>
        <w:t>means an approved IRS e-file provider that develops software according to IRS and Iowa specifications for the purposes of formatting electronic returns, transmitting electronic returns directly to the IRS, or both. A software developer may sell its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“Stockpiling” </w:t>
      </w:r>
      <w:r>
        <w:rPr>
          <w:rFonts w:ascii="Times New Roman" w:hAnsi="Times New Roman"/>
          <w:b w:val="false"/>
          <w:i w:val="false"/>
          <w:color w:val="000000"/>
          <w:sz w:val="22"/>
        </w:rPr>
        <w:t>means collecting returns from taxpayers or from other e-file providers and waiting more than three calendar days after receiving the information necessary for transmission to transmit the returns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“Transmitter” </w:t>
      </w:r>
      <w:r>
        <w:rPr>
          <w:rFonts w:ascii="Times New Roman" w:hAnsi="Times New Roman"/>
          <w:b w:val="false"/>
          <w:i w:val="false"/>
          <w:color w:val="000000"/>
          <w:sz w:val="22"/>
        </w:rPr>
        <w:t>means a firm that transmits electronic tax return information directly to the IRS and routes electronic acknowledgments from the IRS (and the states) to the firm originating the electronic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Completion and documentation of the electronic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electronic submission must match the prepared return. The taxpayer(s) must declare the authenticity of the electronic return before it is transmitted. If the ERO makes changes to the electronic return after the Declaration for e-File Return form has been signed by the taxpayer(s), a new Declaration for e-File Return form must be completed and signed by the taxpayer(s) before the return is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signature via remote transaction. In lieu of in-person handwritten signatures, a paid preparer, at the discretion of the taxpayer, may collect taxpayers’ electronic signatures remotely by a process using identity verification and audit trail in the manner that the IRS allows for Form 8879.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signature via in-person transaction. Before a taxpayer electronically signs a Declaration for e-File Return form in which the ERO is physically present with the taxpayer, the ERO must validate the taxpayer’s identity unless there is a multiyear business relationship. A multiyear business relationship is one in which the ERO has originated returns for the taxpayer for a prior tax year and has identified the taxpayer using a valid government picture identification and the method in paragraph </w:t>
      </w:r>
      <w:r>
        <w:rPr>
          <w:rFonts w:ascii="Times New Roman" w:hAnsi="Times New Roman"/>
          <w:b w:val="false"/>
          <w:i w:val="false"/>
          <w:color w:val="000000"/>
          <w:sz w:val="22"/>
        </w:rPr>
        <w:t>8.5(2)</w:t>
      </w:r>
      <w:r>
        <w:rPr>
          <w:rFonts w:ascii="Times New Roman" w:hAnsi="Times New Roman"/>
          <w:b w:val="false"/>
          <w:i/>
          <w:color w:val="000000"/>
          <w:sz w:val="22"/>
        </w:rPr>
        <w:t>“b.”</w:t>
      </w:r>
      <w:r>
        <w:rPr>
          <w:rFonts w:ascii="Times New Roman" w:hAnsi="Times New Roman"/>
          <w:b w:val="false"/>
          <w:i w:val="false"/>
          <w:color w:val="000000"/>
          <w:sz w:val="22"/>
        </w:rPr>
        <w:t xml:space="preserve"> For in-person transactions, identity verification through a record check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ERO must provide the taxpayer with a copy of all information to be filed. The taxpayer and ERO must retain all tax documentation for three years. The Declaration for e-File Return form and accompanying schedules are to be furnished to the department only when specifically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Direct deposit and direct debit.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designating direct deposit of the Iowa refund or direct debit of payment remitted to the department on electronically filed returns must provide proof of account ownership to the ERO. The department is not responsible for the misapplication of a direct deposit refund or direct debit payment caused by error, negligence, or wrongdoing on the part of the taxpayer, e-file provider, financial institution, or any agent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return has been transmitted, the financial order may not be altered. The department may, when processing procedures allow, grant a taxpayer’s timely request to revoke the financial order. The taxpayer is responsible for revoking the financial order if the specified payment is not exactly as intended. A direct deposit or direct debit order will be disregarded by the department if the electronic submission is rejected for any reason as indicated in the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when processing procedures require, convert a direct deposit order to a paper warrant. If a refund is deposited into an incorrect bank account, the department will issue a paper refund warrant once the funds are returned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withdrawal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will be withdrawn from the account specified in the direct debit order no sooner than the date specified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must be timely made to prevent the assessment of all applicable penalty and interest. A direct debit payment within an electronic submission is considered timely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accepts the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electronic postmark date is prior to the tax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payment withdrawal date is prior to the tax due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 debit payment is honored by the specified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tax due date has not yet elapsed, the withdrawal date should occur on or before the tax due date. Scheduling a withdrawal date after the tax due date will result in the assessment of all applicable penalty and interest unless the taxpayer otherwise makes payment before the tax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tax due date has already elapsed, the withdrawal date should specify immediate payment to prevent the accrual of additional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cannot occur prior to the electronic postmark date. When the taxpayer attempts to schedule a withdrawal date that is prior to the electronic postmark date, the electronic postmark date is the withdrawal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taxpayer wants to change the withdrawal date specified in a financial order, the taxpayer must revoke the financial order and submit a new financial order. If the department determines that the taxpayer may have erroneously scheduled a withdrawal date, the department may notify the taxpayer of the possible error, but the department is not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Software approval. </w:t>
      </w:r>
      <w:r>
        <w:rPr>
          <w:rFonts w:ascii="Times New Roman" w:hAnsi="Times New Roman"/>
          <w:b w:val="false"/>
          <w:i w:val="false"/>
          <w:color w:val="000000"/>
          <w:sz w:val="22"/>
        </w:rPr>
        <w:t>Software developers that want to develop electronic submission formatting software for e-filing Iowa returns shall register their respective software products annually with the department. The department publishes specifications, test packages, and testing procedures. Software must pass transmission tests before the department will approve it for electronic filing of Iowa income tax returns. The department will define the test period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ERO acceptance to participate. </w:t>
      </w:r>
      <w:r>
        <w:rPr>
          <w:rFonts w:ascii="Times New Roman" w:hAnsi="Times New Roman"/>
          <w:b w:val="false"/>
          <w:i w:val="false"/>
          <w:color w:val="000000"/>
          <w:sz w:val="22"/>
        </w:rPr>
        <w:t>Once accepted by the IRS as an ERO for a specific tax type, the ERO is automatically accepted to e-file Iowa returns of that tax type, provided that the department offers the tax type for e-file.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Suspension of an e-file provider from participation in the Iowa electronic filing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immediately suspend, without notice, an e-file provider from the Iowa electronic filing program. In most cases, a suspension is effective as of the date of the letter informing the e-file provider of the suspension. Before suspending an e-file provider, the department may issue a warning letter describing specific corrective action required to correct deviations set forth in paragraph </w:t>
      </w:r>
      <w:hyperlink r:id="rId23">
        <w:r>
          <w:rPr>
            <w:rStyle w:val="Hyperlink"/>
            <w:rFonts w:ascii="Times New Roman" w:hAnsi="Times New Roman"/>
            <w:b w:val="false"/>
            <w:i w:val="false"/>
            <w:color w:val="000000"/>
            <w:sz w:val="22"/>
          </w:rPr>
          <w:t>8.5(6)</w:t>
        </w:r>
        <w:r>
          <w:rPr>
            <w:rFonts w:ascii="Times New Roman" w:hAnsi="Times New Roman"/>
            <w:b w:val="false"/>
            <w:i/>
            <w:color w:val="000000"/>
            <w:sz w:val="22"/>
          </w:rPr>
          <w:t>“b.”</w:t>
        </w:r>
      </w:hyperlink>
      <w:r>
        <w:rPr>
          <w:rFonts w:ascii="Times New Roman" w:hAnsi="Times New Roman"/>
          <w:b w:val="false"/>
          <w:i w:val="false"/>
          <w:color w:val="000000"/>
          <w:sz w:val="22"/>
        </w:rPr>
        <w:t xml:space="preserve"> An e-file provider will be automatically prohibited from participating in the Iowa electronic filing program if denied participation in, or suspended from, the federal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e-file provider that is eligible to participate in the federal electronic filing program may be suspended from the Iowa electronic filing program if any of the following conditions occur. The list is for illustrative purposes only and is not deemed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Deterioration in the format of electronic returns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Unacceptable cumulative error or rejection rate or failure to correct errors resulting from the transmission of electronic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Untimely received, illegible, incomplete, missing, or unapproved substitute Declaration for e-File Return forms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Stockpiling returns at any time while participating in the Iowa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retrieve acknowledgments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initiate the communication of acknowledgments to the ERO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Significant complaints about the e-file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cooperate with the department’s efforts to monitor e-file providers, investigate electronic filing abuse, and investigate the possible filing of fraudulent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Submitting the electronic return with information that is not identical to information on the Declaration for e-File Return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Transmitting the electronic return with software not approved by the department for use in the Iowa electronic filing program for the given tax type and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provide W-2s, 1099s, or out-of-state tax returns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procedure for denial of participation or suspension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firm has requested participation in the Iowa electronic filing program but there is reason to deny the request, the department shall send written notice to the firm advising that entry into the program has been denied. When an e-file provider is a participant in the Iowa electronic filing program but is to be suspended from the program for any condition described in subrule </w:t>
      </w:r>
      <w:r>
        <w:rPr>
          <w:rFonts w:ascii="Times New Roman" w:hAnsi="Times New Roman"/>
          <w:b w:val="false"/>
          <w:i w:val="false"/>
          <w:color w:val="000000"/>
          <w:sz w:val="22"/>
        </w:rPr>
        <w:t>8.5(6)</w:t>
      </w:r>
      <w:r>
        <w:rPr>
          <w:rFonts w:ascii="Times New Roman" w:hAnsi="Times New Roman"/>
          <w:b w:val="false"/>
          <w:i w:val="false"/>
          <w:color w:val="000000"/>
          <w:sz w:val="22"/>
        </w:rPr>
        <w:t>, the department will send written notice to notify the e-file provider about its suspension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firm either disagrees with the denial of participation or the suspension from participation, the firm must file a written appeal to the department within 60 days of the date of the denial or the suspension. The written appeal must be filed pursuant to rule </w:t>
      </w:r>
      <w:hyperlink r:id="rId2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During the administrative review process, the denial of the firm’s participation in or the suspension of the firm from the Iowa electronic filing program shall remain in effect.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701—8.6</w:t>
      </w:r>
      <w:r>
        <w:rPr>
          <w:rFonts w:ascii="Times New Roman" w:hAnsi="Times New Roman"/>
          <w:b/>
          <w:i w:val="false"/>
          <w:color w:val="000000"/>
          <w:sz w:val="22"/>
        </w:rPr>
        <w:t xml:space="preserve">(421) </w:t>
      </w:r>
      <w:r>
        <w:rPr>
          <w:rFonts w:ascii="Times New Roman" w:hAnsi="Times New Roman"/>
          <w:b/>
          <w:i w:val="false"/>
          <w:color w:val="000000"/>
          <w:sz w:val="22"/>
        </w:rPr>
        <w:t xml:space="preserve">Electing to receive communications in electronic format in lieu of paper. </w:t>
      </w:r>
      <w:r>
        <w:rPr>
          <w:rFonts w:ascii="Times New Roman" w:hAnsi="Times New Roman"/>
          <w:b w:val="false"/>
          <w:i w:val="false"/>
          <w:color w:val="000000"/>
          <w:sz w:val="22"/>
        </w:rPr>
        <w:t xml:space="preserve">A taxpayer that is a registered account holder in GovConnectIowa may elect to receive notices, correspondence, or other communication electronically through GovConnectIowa in lieu of receiving them by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How to make the election. </w:t>
      </w:r>
      <w:r>
        <w:rPr>
          <w:rFonts w:ascii="Times New Roman" w:hAnsi="Times New Roman"/>
          <w:b w:val="false"/>
          <w:i w:val="false"/>
          <w:color w:val="000000"/>
          <w:sz w:val="22"/>
        </w:rPr>
        <w:t xml:space="preserve">The election must be made by selecting the appropriate setting on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election only exists for persons registered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specified elsewhere in rule, this option is limited to notices, correspondence, or other communications on tax types managed in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department finds it beneficial to continue to send items by regular mail, the department may continue to send regular mail even if an electronic copy is also provided and even if the person elects to receive electronic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When service occurs. </w:t>
      </w:r>
      <w:r>
        <w:rPr>
          <w:rFonts w:ascii="Times New Roman" w:hAnsi="Times New Roman"/>
          <w:b w:val="false"/>
          <w:i w:val="false"/>
          <w:color w:val="000000"/>
          <w:sz w:val="22"/>
        </w:rPr>
        <w:t>If the department sends a notice, correspondence, or other communication by both mail and electronic communication, service occurs upon the earlier of when the communication is posted to GovConnectIowa or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Taxpayer authorized representatives. </w:t>
      </w:r>
      <w:r>
        <w:rPr>
          <w:rFonts w:ascii="Times New Roman" w:hAnsi="Times New Roman"/>
          <w:b w:val="false"/>
          <w:i w:val="false"/>
          <w:color w:val="000000"/>
          <w:sz w:val="22"/>
        </w:rPr>
        <w:t xml:space="preserve">Authorized representatives as described in rule </w:t>
      </w:r>
      <w:hyperlink r:id="rId2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cannot opt out of paper mail for the taxpayers they represent. For each account an authorized representative represents, the authorized representative will receive paper copies of notices, correspondence, or other communication sent to the represented taxpayer. If the authorized representative creates a login and requests and is granted account access for the represented taxpayer, the authorized representative will be able to view electronic versions of the notices, correspondence, or other communication the represented taxpayer receives, but the authorized representative will still receive paper copies of those notices, correspondence, or other communication.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421.60(11)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701—8.7</w:t>
      </w:r>
      <w:r>
        <w:rPr>
          <w:rFonts w:ascii="Times New Roman" w:hAnsi="Times New Roman"/>
          <w:b/>
          <w:i w:val="false"/>
          <w:color w:val="000000"/>
          <w:sz w:val="22"/>
        </w:rPr>
        <w:t xml:space="preserve">(422,533) </w:t>
      </w:r>
      <w:r>
        <w:rPr>
          <w:rFonts w:ascii="Times New Roman" w:hAnsi="Times New Roman"/>
          <w:b/>
          <w:i w:val="false"/>
          <w:color w:val="000000"/>
          <w:sz w:val="22"/>
        </w:rPr>
        <w:t xml:space="preserve">Mandatory electronic filing for certain business entity and fiduciary taxpayers. </w:t>
      </w:r>
      <w:r>
        <w:rPr>
          <w:rFonts w:ascii="Times New Roman" w:hAnsi="Times New Roman"/>
          <w:b w:val="false"/>
          <w:i w:val="false"/>
          <w:color w:val="000000"/>
          <w:sz w:val="22"/>
        </w:rPr>
        <w:t>Iowa corporate and fiduciary income and franchise taxpayers, credit unions subject to the moneys and credits tax, and pass-through entities subject to Iowa income reporting requirements, are required to file their annual returns in an electronic format approved by the department for any tax year in which certain criteria are met. This rule provides information needed to determine whether any entity is subject to this electronic filing requirement for a given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 xml:space="preserve">when used in this rule, means entities taxed as corporations, partnerships, S corporations, and financial institutions as defined in Iowa Code section </w:t>
      </w:r>
      <w:hyperlink r:id="rId29">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taxpayer” </w:t>
      </w:r>
      <w:r>
        <w:rPr>
          <w:rFonts w:ascii="Times New Roman" w:hAnsi="Times New Roman"/>
          <w:b w:val="false"/>
          <w:i w:val="false"/>
          <w:color w:val="000000"/>
          <w:sz w:val="22"/>
        </w:rPr>
        <w:t xml:space="preserve">means the same as “fiduciary” as defined in Iowa Code section </w:t>
      </w:r>
      <w:hyperlink r:id="rId30">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means refundable and nonrefundable tax credits authorized under the Iowa Code for the tax year in which they are claimed or applied, but does not include credits for prior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when used in this rule, means Form IA 1120, IA 1120S, IA 1120F, IA 1065, IA PTE-C, IA 1041, or Iowa credit union moneys and credits tax return, as context requires, and includes amended returns, supporting schedules, attachments, or lists that are supplemental to or part of the filed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unless the context otherwise requires, means any business entity, financial institution, credit union or fiduciary taxpayer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means any period of up to 12 months, including periods of less than 12 months, for which a taxpayer subject to this rule is required to file an Iowa income tax, franchise tax, moneys and credits, or information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gross receipts” </w:t>
      </w:r>
      <w:r>
        <w:rPr>
          <w:rFonts w:ascii="Times New Roman" w:hAnsi="Times New Roman"/>
          <w:b w:val="false"/>
          <w:i w:val="false"/>
          <w:color w:val="000000"/>
          <w:sz w:val="22"/>
        </w:rPr>
        <w:t>means gross receipts or sales from all business operations conducted within and without Iowa without any adjustment for returns and allowances, and also includes receipts from all interest, dividends, rents, and royalties; income from ordinary and capital gains; and the distributive share of income received by the taxpayer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for filing. </w:t>
      </w:r>
      <w:r>
        <w:rPr>
          <w:rFonts w:ascii="Times New Roman" w:hAnsi="Times New Roman"/>
          <w:b w:val="false"/>
          <w:i w:val="false"/>
          <w:color w:val="000000"/>
          <w:sz w:val="22"/>
        </w:rPr>
        <w:t>The following are the only approved methods of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entity and fiduciary taxpayers. </w:t>
      </w:r>
      <w:r>
        <w:rPr>
          <w:rFonts w:ascii="Times New Roman" w:hAnsi="Times New Roman"/>
          <w:b w:val="false"/>
          <w:i w:val="false"/>
          <w:color w:val="000000"/>
          <w:sz w:val="22"/>
        </w:rPr>
        <w:t xml:space="preserve">A business entity or fiduciary taxpayer that meets any of the criteria for mandatory electronic filing in subrule </w:t>
      </w:r>
      <w:r>
        <w:rPr>
          <w:rFonts w:ascii="Times New Roman" w:hAnsi="Times New Roman"/>
          <w:b w:val="false"/>
          <w:i w:val="false"/>
          <w:color w:val="000000"/>
          <w:sz w:val="22"/>
        </w:rPr>
        <w:t>8.7(3)</w:t>
      </w:r>
      <w:r>
        <w:rPr>
          <w:rFonts w:ascii="Times New Roman" w:hAnsi="Times New Roman"/>
          <w:b w:val="false"/>
          <w:i w:val="false"/>
          <w:color w:val="000000"/>
          <w:sz w:val="22"/>
        </w:rPr>
        <w:t xml:space="preserve"> shall file a paperless Iowa income or franchise tax return by way of the Internal Revenue Service (IRS) Modernized e-File (MeF) program, also known as federal/state electronic filing, in a manner consistent with the requirements of rule </w:t>
      </w:r>
      <w:hyperlink r:id="rId31">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Moneys and credits taxpayers. </w:t>
      </w:r>
      <w:r>
        <w:rPr>
          <w:rFonts w:ascii="Times New Roman" w:hAnsi="Times New Roman"/>
          <w:b w:val="false"/>
          <w:i w:val="false"/>
          <w:color w:val="000000"/>
          <w:sz w:val="22"/>
        </w:rPr>
        <w:t>Credit unions shall file a paperless Iowa moneys and credits tax return using an electronic form provided by the department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electronic filing. </w:t>
      </w:r>
      <w:r>
        <w:rPr>
          <w:rFonts w:ascii="Times New Roman" w:hAnsi="Times New Roman"/>
          <w:b w:val="false"/>
          <w:i w:val="false"/>
          <w:color w:val="000000"/>
          <w:sz w:val="22"/>
        </w:rPr>
        <w:t xml:space="preserve">This subrule applies to business entities for tax years ending on or after December 31, 2022; to fiduciary taxpayers for tax years ending on or after December 31, 2023; and to moneys and credits taxpayers for any tax year ending on or after December 31, 2024. Every taxpayer required to file an Iowa income, franchise, or moneys and credits tax return for an applicable year must file using the electronic format specified in subrule </w:t>
      </w:r>
      <w:r>
        <w:rPr>
          <w:rFonts w:ascii="Times New Roman" w:hAnsi="Times New Roman"/>
          <w:b w:val="false"/>
          <w:i w:val="false"/>
          <w:color w:val="000000"/>
          <w:sz w:val="22"/>
        </w:rPr>
        <w:t>8.7(2)</w:t>
      </w:r>
      <w:r>
        <w:rPr>
          <w:rFonts w:ascii="Times New Roman" w:hAnsi="Times New Roman"/>
          <w:b w:val="false"/>
          <w:i w:val="false"/>
          <w:color w:val="000000"/>
          <w:sz w:val="22"/>
        </w:rPr>
        <w:t xml:space="preserve"> if the taxpayer meets any of the following criteria for the tax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receipts. </w:t>
      </w:r>
      <w:r>
        <w:rPr>
          <w:rFonts w:ascii="Times New Roman" w:hAnsi="Times New Roman"/>
          <w:b w:val="false"/>
          <w:i w:val="false"/>
          <w:color w:val="000000"/>
          <w:sz w:val="22"/>
        </w:rPr>
        <w:t>The taxpayer has $250,000 or more in total gross receipts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The taxpayer claims or applies $25,000 or more of Iowa tax credits on the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Schedules K-1. </w:t>
      </w:r>
      <w:r>
        <w:rPr>
          <w:rFonts w:ascii="Times New Roman" w:hAnsi="Times New Roman"/>
          <w:b w:val="false"/>
          <w:i w:val="false"/>
          <w:color w:val="000000"/>
          <w:sz w:val="22"/>
        </w:rPr>
        <w:t>The taxpayer is required to issue ten or more Iowa Schedules K-1 to its partners, members, shareholders, or beneficiaries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Consolidated corporate return. </w:t>
      </w:r>
      <w:r>
        <w:rPr>
          <w:rFonts w:ascii="Times New Roman" w:hAnsi="Times New Roman"/>
          <w:b w:val="false"/>
          <w:i w:val="false"/>
          <w:color w:val="000000"/>
          <w:sz w:val="22"/>
        </w:rPr>
        <w:t xml:space="preserve">The taxpayer elects or is required to file or be included on an Iowa consolidated corporate income tax return under Iowa Code section </w:t>
      </w:r>
      <w:hyperlink r:id="rId32">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Moneys and credits return. </w:t>
      </w:r>
      <w:r>
        <w:rPr>
          <w:rFonts w:ascii="Times New Roman" w:hAnsi="Times New Roman"/>
          <w:b w:val="false"/>
          <w:i w:val="false"/>
          <w:color w:val="000000"/>
          <w:sz w:val="22"/>
        </w:rPr>
        <w:t>All credit unions required to file an Iowa moneys and credits tax return for a tax year are required to file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Composite return. </w:t>
      </w:r>
      <w:r>
        <w:rPr>
          <w:rFonts w:ascii="Times New Roman" w:hAnsi="Times New Roman"/>
          <w:b w:val="false"/>
          <w:i w:val="false"/>
          <w:color w:val="000000"/>
          <w:sz w:val="22"/>
        </w:rPr>
        <w:t>Any partnership, S corporation, or fiduciary filer that is both required to file an Iowa composite return and required to electronically file an income tax return for any period under this subrule must also electronically file the composite return for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Returns not in compliance with this rule. </w:t>
      </w:r>
      <w:r>
        <w:rPr>
          <w:rFonts w:ascii="Times New Roman" w:hAnsi="Times New Roman"/>
          <w:b w:val="false"/>
          <w:i w:val="false"/>
          <w:color w:val="000000"/>
          <w:sz w:val="22"/>
        </w:rPr>
        <w:t xml:space="preserve">Any return filed in any manner other than the manner specified in </w:t>
      </w:r>
      <w:hyperlink r:id="rId33">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by a taxpayer that meets any of the criteria for mandatory electronic filing as described in </w:t>
      </w:r>
      <w:hyperlink r:id="rId34">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is not a valid return. The taxpayer is a nonfiler for the tax year for which the return was required, and may be subject to the failure to file penalties as provided for in rules </w:t>
      </w:r>
      <w:hyperlink r:id="rId35">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36">
        <w:r>
          <w:rPr>
            <w:rStyle w:val="Hyperlink"/>
            <w:rFonts w:ascii="Times New Roman" w:hAnsi="Times New Roman"/>
            <w:b w:val="false"/>
            <w:i w:val="false"/>
            <w:color w:val="000000"/>
            <w:sz w:val="22"/>
          </w:rPr>
          <w:t>701—10.9</w:t>
        </w:r>
      </w:hyperlink>
      <w:r>
        <w:rPr>
          <w:rFonts w:ascii="Times New Roman" w:hAnsi="Times New Roman"/>
          <w:b w:val="false"/>
          <w:i w:val="false"/>
          <w:color w:val="000000"/>
          <w:sz w:val="22"/>
        </w:rPr>
        <w:t xml:space="preserve">(421), until such time as the taxpayer files the return in the proper electronic format. This subrule shall not apply if an exception has been granted under </w:t>
      </w:r>
      <w:hyperlink r:id="rId37">
        <w:r>
          <w:rPr>
            <w:rStyle w:val="Hyperlink"/>
            <w:rFonts w:ascii="Times New Roman" w:hAnsi="Times New Roman"/>
            <w:b w:val="false"/>
            <w:i w:val="false"/>
            <w:color w:val="000000"/>
            <w:sz w:val="22"/>
          </w:rPr>
          <w:t>subrule 8.7(5)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At the department’s discretion, exceptions to the electronic filing requirement under this rule may be granted for good cause. The taxpayer bears the burden to prove that good cause exists for the failure to file electronically. Except as provided in paragraph </w:t>
      </w:r>
      <w:r>
        <w:rPr>
          <w:rFonts w:ascii="Times New Roman" w:hAnsi="Times New Roman"/>
          <w:b w:val="false"/>
          <w:i w:val="false"/>
          <w:color w:val="000000"/>
          <w:sz w:val="22"/>
        </w:rPr>
        <w:t>8.7(5)</w:t>
      </w:r>
      <w:r>
        <w:rPr>
          <w:rFonts w:ascii="Times New Roman" w:hAnsi="Times New Roman"/>
          <w:b w:val="false"/>
          <w:i/>
          <w:color w:val="000000"/>
          <w:sz w:val="22"/>
        </w:rPr>
        <w:t>“b,”</w:t>
      </w:r>
      <w:r>
        <w:rPr>
          <w:rFonts w:ascii="Times New Roman" w:hAnsi="Times New Roman"/>
          <w:b w:val="false"/>
          <w:i w:val="false"/>
          <w:color w:val="000000"/>
          <w:sz w:val="22"/>
        </w:rPr>
        <w:t xml:space="preserve"> a claim that the return preparation software purchased or licensed by a taxpayer or taxpayer’s return preparer does not include all of the features necessary to comply with the taxpayer’s Iowa filing obligations shall not be considered good cause for purposes of granting an exception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exceptions to the electronic filing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request. Requests for exceptions to the electronic filing requirement must be submitted by mail or online through GovConnectIowa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request. Requests for exceptions to the electronic filing requirement must be submitted before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determination. The department will notify the taxpayer in writing whether a request for an exception to the electronic filing requirement has been approved or denied. If the department does not respond to a taxpayer’s valid request for an exception to the electronic filing requirement within 90 days of the date the request is received, the request shall be deemed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Applicability of exception. An exception to the electronic filing requirement, if granted, shall only be valid for the tax year for which it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relief provided by the department. </w:t>
      </w:r>
      <w:r>
        <w:rPr>
          <w:rFonts w:ascii="Times New Roman" w:hAnsi="Times New Roman"/>
          <w:b w:val="false"/>
          <w:i w:val="false"/>
          <w:color w:val="000000"/>
          <w:sz w:val="22"/>
        </w:rPr>
        <w:t xml:space="preserve">The department may, at its discretion, offer a good-cause exception to the electronic filing requirement for filers of a specific return type or form for a specific filing period by providing such an exception in the instructions for that return type or form or by an order issued by the director. Taxpayers must comply with all instructions provided by the department in order to qualify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for business entity and fiduciary taxpayers. </w:t>
      </w:r>
      <w:r>
        <w:rPr>
          <w:rFonts w:ascii="Times New Roman" w:hAnsi="Times New Roman"/>
          <w:b w:val="false"/>
          <w:i w:val="false"/>
          <w:color w:val="000000"/>
          <w:sz w:val="22"/>
        </w:rPr>
        <w:t>For tax years ending on or before December 31, 2023, if the department determines a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for moneys and credits taxpayers. </w:t>
      </w:r>
      <w:r>
        <w:rPr>
          <w:rFonts w:ascii="Times New Roman" w:hAnsi="Times New Roman"/>
          <w:b w:val="false"/>
          <w:i w:val="false"/>
          <w:color w:val="000000"/>
          <w:sz w:val="22"/>
        </w:rPr>
        <w:t>For tax years ending on or before December 31, 2024, if the department determines a moneys and credits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701—8.8</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Authorized representatives—powers of attorney and representative certifications. </w:t>
      </w:r>
      <w:r>
        <w:rPr>
          <w:rFonts w:ascii="Times New Roman" w:hAnsi="Times New Roman"/>
          <w:b w:val="false"/>
          <w:i w:val="false"/>
          <w:color w:val="000000"/>
          <w:sz w:val="22"/>
        </w:rPr>
        <w:t xml:space="preserve">No individual will be recognized as representing any taxpayer in regard to any tax claim, tax appeal, or other tax matter before the department or in any communication with or hearing before the department, or any agent thereof, unless a written authorization in compliance with this rule and Iowa Code section </w:t>
      </w:r>
      <w:hyperlink r:id="rId3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is first filed with the department. If a taxpayer wishes to allow the department to discuss otherwise confidential tax matters with an individual without giving that individual authority to act on the taxpayer’s behalf, the taxpayer must provide the department with written authorization to disclose such confidential tax information as provided in rule </w:t>
      </w:r>
      <w:hyperlink r:id="rId39">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(17A,22,99G,123,421-454).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a taxpayer, generally; transfers of decision-making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taxpayer wishes to have any other individual act on the taxpayer’s behalf in matters before the department, the taxpayer must file with the department an IDR power of attorney form, as described in subrule </w:t>
      </w:r>
      <w:r>
        <w:rPr>
          <w:rFonts w:ascii="Times New Roman" w:hAnsi="Times New Roman"/>
          <w:b w:val="false"/>
          <w:i w:val="false"/>
          <w:color w:val="000000"/>
          <w:sz w:val="22"/>
        </w:rPr>
        <w:t>8.8(5)</w:t>
      </w:r>
      <w:r>
        <w:rPr>
          <w:rFonts w:ascii="Times New Roman" w:hAnsi="Times New Roman"/>
          <w:b w:val="false"/>
          <w:i w:val="false"/>
          <w:color w:val="000000"/>
          <w:sz w:val="22"/>
        </w:rPr>
        <w:t>, authorizing that individual to do so. This applies even if an individual desires to represent a taxpayer only through correspondence with the department but does not intend to personally appear before the department in a hearing or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with the authority to act on behalf of a taxpayer, including pursuant to Iowa Code section </w:t>
      </w:r>
      <w:hyperlink r:id="rId40">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w:t>
      </w:r>
      <w:hyperlink r:id="rId41">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must file a representative certification form as described in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or representative certification form, or other form designated by the department, as applicable, is required by the department before an individual can perform one or more of the following acts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copies of any notices or documents sent by the department, its representatives, or its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receive, but not to endorse or collect, checks made payable to the taxpayer in payment of a refund of Iowa taxes, penalties, or interest. Certain representatives with a valid representative certification form or equivalent authorization may be authorized to receive, endorse, and collect checks made payable to the taxpayer in payment of a refund of Iowa taxes,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execute waivers (including offers of waiver) of restrictions on assessment or collection of deficiencies in tax and waivers of notice of disallowance of a claim for credit 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execute consents extending the statutory period for assessment or collection of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fully represent the taxpayer in any hearing, determination, final or otherwise, or appeal. Subrule </w:t>
      </w:r>
      <w:r>
        <w:rPr>
          <w:rFonts w:ascii="Times New Roman" w:hAnsi="Times New Roman"/>
          <w:b w:val="false"/>
          <w:i w:val="false"/>
          <w:color w:val="000000"/>
          <w:sz w:val="22"/>
        </w:rPr>
        <w:t>8.8(8)</w:t>
      </w:r>
      <w:r>
        <w:rPr>
          <w:rFonts w:ascii="Times New Roman" w:hAnsi="Times New Roman"/>
          <w:b w:val="false"/>
          <w:i w:val="false"/>
          <w:color w:val="000000"/>
          <w:sz w:val="22"/>
        </w:rPr>
        <w:t xml:space="preserve"> contains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enter into any settlement or compromise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execute any release from liability necessary as a prerequisite to divulging otherwise confidential information concerning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 authorize a third party as authorized representative or disclosure designee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To waive, withdraw, or dismiss any claims or defenses or amend a pleading, to the extent permitted by subrule </w:t>
      </w:r>
      <w:r>
        <w:rPr>
          <w:rFonts w:ascii="Times New Roman" w:hAnsi="Times New Roman"/>
          <w:b w:val="false"/>
          <w:i w:val="false"/>
          <w:color w:val="000000"/>
          <w:sz w:val="22"/>
        </w:rPr>
        <w:t>7.8(7)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may limit the scope of the authority of an authorized representative appointed via an IDR power of attorney form by expressly stating the limitations, if any, on the IDR power of attorney form submitted to the department. The scope of authority of an authorized representative may not expand beyond those powers authorized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separately. An IDR power of attorney form or representative certification is not accepted as an attachment to a tax return except as provided by these rules. A power of attorney form or representative certification form must be submitted in accordance with the submission instructions on the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Original or electronic forms accepted. The department may accept either an original form, an electronically scanned and transmitted form, or a copy of a form. A copy received by facsimile transmission (fax) or email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Timely submission. The form must be submitted within six months of the date of signature,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Appointment of a representative via another form. The department designates certain returns or other departmental forms on which a taxpayer may appoint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Signature. The signature on the form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with represented taxpayers. </w:t>
      </w:r>
      <w:r>
        <w:rPr>
          <w:rFonts w:ascii="Times New Roman" w:hAnsi="Times New Roman"/>
          <w:b w:val="false"/>
          <w:i w:val="false"/>
          <w:color w:val="000000"/>
          <w:sz w:val="22"/>
        </w:rPr>
        <w:t>Any notice or other written communication (or copy thereof) from the department provided to the authorized representative, where required or permitted to be given to the taxpayer, will be given to the taxpayer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Taxpayers must ensure that all required fields of the IDR power of attorney form are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may execute an IDR power of attorney form. Individuals who are permitted to execute an IDR power of attorney form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In matters involving an individual taxpayer, an IDR power of attorney form must be signed by the taxpayer or the taxpayer’s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Joint or combined returns. In matters involving a joint return, each taxpayer must complete and submit an IDR power of attorney form, even if the taxpayers are represented by the same appointee(s). In any matter concerning a joint return, the authorized representative of one spouse cannot perform any act with respect to a tax matter that the spouse represented cannot perform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Contents of the IDR power of attorney form. A valid IDR power of attorney form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employer identification number (FEIN), or any federal- or Iowa-issued tax identification number),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 mailing address, and identification number of the representative (i.e., preparer’s tax identification number (PTIN), SSN, centralized authorization file (CAF) number, any federal- or Iowa-issued tax identification number,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representation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tax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limitation on tax type, year/period, or permit will allow the authorized representative to act for any tax type/year/period/permit.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subrule </w:t>
      </w:r>
      <w:r>
        <w:rPr>
          <w:rFonts w:ascii="Times New Roman" w:hAnsi="Times New Roman"/>
          <w:b w:val="false"/>
          <w:i w:val="false"/>
          <w:color w:val="000000"/>
          <w:sz w:val="22"/>
        </w:rPr>
        <w:t>8.8(2)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on the form, which may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period for an IDR power of attorney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IDR power of attorney form may be used to authorize representation for tax periods that end  within three years after the date on which the form is signed by the taxpayer. The authority granted may concern an unlimited number of tax periods that have ended prior to the date on which the IDR power of attorney form is received by the department; however, tax periods must be stated if the intention is to limit the periods. If the tax period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granted by an IDR power of attorney form ceases to be effective for tax periods as defined in subparagraph </w:t>
      </w:r>
      <w:r>
        <w:rPr>
          <w:rFonts w:ascii="Times New Roman" w:hAnsi="Times New Roman"/>
          <w:b w:val="false"/>
          <w:i w:val="false"/>
          <w:color w:val="000000"/>
          <w:sz w:val="22"/>
        </w:rPr>
        <w:t>8.8(5)</w:t>
      </w:r>
      <w:r>
        <w:rPr>
          <w:rFonts w:ascii="Times New Roman" w:hAnsi="Times New Roman"/>
          <w:b w:val="false"/>
          <w:i/>
          <w:color w:val="000000"/>
          <w:sz w:val="22"/>
        </w:rPr>
        <w:t>“c”</w:t>
      </w:r>
      <w:r>
        <w:rPr>
          <w:rFonts w:ascii="Times New Roman" w:hAnsi="Times New Roman"/>
          <w:b w:val="false"/>
          <w:i w:val="false"/>
          <w:color w:val="000000"/>
          <w:sz w:val="22"/>
        </w:rPr>
        <w:t>(1)</w:t>
      </w:r>
      <w:r>
        <w:rPr>
          <w:rFonts w:ascii="Times New Roman" w:hAnsi="Times New Roman"/>
          <w:b w:val="false"/>
          <w:i w:val="false"/>
          <w:color w:val="000000"/>
          <w:sz w:val="22"/>
        </w:rPr>
        <w:t xml:space="preserve"> upon revocation by the taxpayer; incapacity of the taxpayer; death of the taxpayer; or withdrawal, death, or incapacity of the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of documentation provided. The department will evaluate the IDR power of attorney form and any additional documentation to confirm authority. Authority to act before the department only covers those matters and time frames covered by the submitted documentation. The party claiming authority to act before the department on behalf of a taxpayer has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Revocation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authority granted by an IDR power of attorney form without authorizing a new representative. The statement of revocation must indicate that the authority of the previous representative is revoked and be signed by the taxpayer. The name and address of each representative whose authority is revoked must be listed (or a copy of the prior IDR power of attorney form must be attached). If the writing indicates that authorization should be revoked from “all” authorized representatives, this will apply to all representatives appointed via an IDR power of attorney form or an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filing a new IDR power of attorney form. Filing a new IDR power of attorney form for a particular tax type(s) and tax period(s) automatically revokes a previously granted authority for the same tax type(s) and tax period(s). For a previously designated authorized representative to remain as the taxpayer’s authorized representative when a subsequent IDR power of attorney form is filed, the taxpayer must include the representative on the newly submitted IDR power of attorney form. This rule applies regardless of whether the power of attorney authority is authorized by an IDR power of attorney form or on a return as described in subrule </w:t>
      </w:r>
      <w:r>
        <w:rPr>
          <w:rFonts w:ascii="Times New Roman" w:hAnsi="Times New Roman"/>
          <w:b w:val="false"/>
          <w:i w:val="false"/>
          <w:color w:val="000000"/>
          <w:sz w:val="22"/>
        </w:rPr>
        <w:t>8.8(7)</w:t>
      </w:r>
      <w:r>
        <w:rPr>
          <w:rFonts w:ascii="Times New Roman" w:hAnsi="Times New Roman"/>
          <w:b w:val="false"/>
          <w:i w:val="false"/>
          <w:color w:val="000000"/>
          <w:sz w:val="22"/>
        </w:rPr>
        <w:t xml:space="preserve">. This subrule does not apply to entities appointed as authorized entity representatives under subrule </w:t>
      </w:r>
      <w:r>
        <w:rPr>
          <w:rFonts w:ascii="Times New Roman" w:hAnsi="Times New Roman"/>
          <w:b w:val="false"/>
          <w:i w:val="false"/>
          <w:color w:val="000000"/>
          <w:sz w:val="22"/>
        </w:rPr>
        <w:t>8.8(9)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representative. By filing a statement with the department, an authorized representative may withdraw from representation in a matter in which an IDR power of attorney form has been filed. The statement must be signed by the representative and identify the name, identification number, and address of the taxpayer(s); the name, address and identification number of the representative withdrawing; and the matter(s) from which the representative is withdrawing. A representative may withdraw from multiple matters by including with the statement a list of all matters and taxpayers for which withdrawal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third-party access authority, including those appointed via the IDR power of attorney form or representative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w:t>
      </w:r>
      <w:r>
        <w:rPr>
          <w:rFonts w:ascii="Times New Roman" w:hAnsi="Times New Roman"/>
          <w:b w:val="false"/>
          <w:i w:val="false"/>
          <w:color w:val="000000"/>
          <w:sz w:val="22"/>
        </w:rPr>
        <w:t> </w:t>
      </w:r>
      <w:r>
        <w:rPr>
          <w:rFonts w:ascii="Times New Roman" w:hAnsi="Times New Roman"/>
          <w:b w:val="false"/>
          <w:i/>
          <w:color w:val="000000"/>
          <w:sz w:val="22"/>
        </w:rPr>
        <w:t xml:space="preserve">Representative certification; durable and general powers of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r>
        <w:rPr>
          <w:rFonts w:ascii="Times New Roman" w:hAnsi="Times New Roman"/>
          <w:b w:val="false"/>
          <w:i w:val="false"/>
          <w:color w:val="000000"/>
          <w:sz w:val="22"/>
        </w:rPr>
        <w:t xml:space="preserve">Individuals with the authority to act on behalf of a taxpayer granted outside of IDR, including pursuant to Iowa Code section </w:t>
      </w:r>
      <w:hyperlink r:id="rId42">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or chapter 633B, must file with the department a form certifying their authority to represent the taxpayer prior to utilizing that authority with the department. Individuals authorized by an IDR power of attorney form should not file a representative certification form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representative certification form. </w:t>
      </w:r>
      <w:r>
        <w:rPr>
          <w:rFonts w:ascii="Times New Roman" w:hAnsi="Times New Roman"/>
          <w:b w:val="false"/>
          <w:i w:val="false"/>
          <w:color w:val="000000"/>
          <w:sz w:val="22"/>
        </w:rPr>
        <w:t>The representative certification form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SSN, FEIN, any federal- or Iowa-issued tax identification number relative to matters covered by the IDR power of attorney form, or other number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Name, mailing address, and identification number (i.e., SSN, CAF number, any federal- or Iowa-issued tax identification number, or other number as approved by the department) of the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Proof of authority must be included with the form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Durable power of attorney or general power of attorney other than an IDR power of attorney form: a copy of the power of attorney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Guardian, conservator, or custodian appointed by a court: documentation as required in Iowa Code section </w:t>
      </w:r>
      <w:hyperlink r:id="rId43">
        <w:r>
          <w:rPr>
            <w:rStyle w:val="Hyperlink"/>
            <w:rFonts w:ascii="Times New Roman" w:hAnsi="Times New Roman"/>
            <w:b w:val="false"/>
            <w:i w:val="false"/>
            <w:color w:val="000000"/>
            <w:sz w:val="22"/>
          </w:rPr>
          <w:t>421.59(2)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Receiver appointed pursuant to Iowa Code chapter </w:t>
      </w:r>
      <w:hyperlink r:id="rId44">
        <w:r>
          <w:rPr>
            <w:rStyle w:val="Hyperlink"/>
            <w:rFonts w:ascii="Times New Roman" w:hAnsi="Times New Roman"/>
            <w:b w:val="false"/>
            <w:i w:val="false"/>
            <w:color w:val="000000"/>
            <w:sz w:val="22"/>
          </w:rPr>
          <w:t>680</w:t>
        </w:r>
      </w:hyperlink>
      <w:r>
        <w:rPr>
          <w:rFonts w:ascii="Times New Roman" w:hAnsi="Times New Roman"/>
          <w:b w:val="false"/>
          <w:i w:val="false"/>
          <w:color w:val="000000"/>
          <w:sz w:val="22"/>
        </w:rPr>
        <w:t>: a copy of the relevant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attorney appearing on behalf of the taxpayer or the taxpayer’s estate in a court proceeding: a copy of the filed notice of appearance in the relevant court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Parent or guardian of a minor taxpayer: a copy of the return signed by the parent or guardian or proof of status as parent or guardian, such as a birth certificate or equivalent document, stating parent and minor taxpayer’s names, as well as the minor taxpayer’s date of birth. By submitting a copy of a return signed by the parent or guardian, the parent or guardian will only have authority in relation to that return. Without other authorization, such as a court-ordered guardianship, a parent’s right to access a minor taxpayer’s account will cease when the minor taxpayer reaches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Executor or personal representative: a copy of the will or court order appointing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Trustee: a copy of the certificate of trust, trust document, or court order appointing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authorized representative do not require documentation: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holding one of the following titles within a corporation, association, partnership, or other entity:</w:t>
      </w:r>
    </w:p>
    <w:p>
      <w:pPr>
        <w:spacing w:before="0" w:after="0"/>
        <w:ind w:left="120"/>
        <w:jc w:val="both"/>
      </w:pPr>
      <w:r>
        <w:rPr>
          <w:rFonts w:ascii="Times New Roman" w:hAnsi="Times New Roman"/>
          <w:b w:val="false"/>
          <w:i w:val="false"/>
          <w:color w:val="000000"/>
          <w:sz w:val="22"/>
        </w:rPr>
        <w:t>○    Officer/employee of corporation/association;</w:t>
      </w:r>
    </w:p>
    <w:p>
      <w:pPr>
        <w:spacing w:before="0" w:after="0"/>
        <w:ind w:left="120"/>
        <w:jc w:val="both"/>
      </w:pPr>
      <w:r>
        <w:rPr>
          <w:rFonts w:ascii="Times New Roman" w:hAnsi="Times New Roman"/>
          <w:b w:val="false"/>
          <w:i w:val="false"/>
          <w:color w:val="000000"/>
          <w:sz w:val="22"/>
        </w:rPr>
        <w:t>○    Designated partner authorized to act on behalf of a partnership;</w:t>
      </w:r>
    </w:p>
    <w:p>
      <w:pPr>
        <w:spacing w:before="0" w:after="0"/>
        <w:ind w:left="120"/>
        <w:jc w:val="both"/>
      </w:pPr>
      <w:r>
        <w:rPr>
          <w:rFonts w:ascii="Times New Roman" w:hAnsi="Times New Roman"/>
          <w:b w:val="false"/>
          <w:i w:val="false"/>
          <w:color w:val="000000"/>
          <w:sz w:val="22"/>
        </w:rPr>
        <w:t>○    Individual authorized to act on behalf of a limited liability company in tax matters;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Governmental representative.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Successor of a very small estate under Iowa Code section </w:t>
      </w:r>
      <w:hyperlink r:id="rId45">
        <w:r>
          <w:rPr>
            <w:rStyle w:val="Hyperlink"/>
            <w:rFonts w:ascii="Times New Roman" w:hAnsi="Times New Roman"/>
            <w:b w:val="false"/>
            <w:i w:val="false"/>
            <w:color w:val="000000"/>
            <w:sz w:val="22"/>
          </w:rPr>
          <w:t>633.356(2)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Affirmation of authority to act on behalf of the taxpayer, and agreement to only act within that authority. Affirmation will be signed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signature of the representative on the form, which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documentation submitted in support of a representative certification to confirm authority. Authority to act before the department shall only cover those matters and time frames covered by the submitted documentation. The party claiming authority to act before the department on behalf of a taxpayer has the burden to prove, to the satisfaction of the department, the existence and extent of the claimed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representative certification may be revoked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representative being withdrawn, following procedures in subparagraph </w:t>
      </w:r>
      <w:r>
        <w:rPr>
          <w:rFonts w:ascii="Times New Roman" w:hAnsi="Times New Roman"/>
          <w:b w:val="false"/>
          <w:i w:val="false"/>
          <w:color w:val="000000"/>
          <w:sz w:val="22"/>
        </w:rPr>
        <w:t>8.8(5)</w:t>
      </w:r>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the taxpayer, following procedures in subparagraph </w:t>
      </w:r>
      <w:r>
        <w:rPr>
          <w:rFonts w:ascii="Times New Roman" w:hAnsi="Times New Roman"/>
          <w:b w:val="false"/>
          <w:i w:val="false"/>
          <w:color w:val="000000"/>
          <w:sz w:val="22"/>
        </w:rPr>
        <w:t>8.8(5)</w:t>
      </w:r>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another representative. An authorized representative properly appointed by a representative certification or an IDR power of attorney form may notify the department that an authorized representative no longer has authority to act on behalf of the taxpayer by filing a statement of revocation with the department. The notification statement must indicate the taxpayer’s name, address, and identification; state that the authority of the former representative has ceased; and be signed by a current authorized representative. Also, the name and address of each representative who no longer has authority must be listed (or a copy of the prior representative certification form must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revocation by the department, following procedures in paragraph </w:t>
      </w:r>
      <w:r>
        <w:rPr>
          <w:rFonts w:ascii="Times New Roman" w:hAnsi="Times New Roman"/>
          <w:b w:val="false"/>
          <w:i w:val="false"/>
          <w:color w:val="000000"/>
          <w:sz w:val="22"/>
        </w:rPr>
        <w:t>8.8(5)</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w:t>
      </w:r>
      <w:r>
        <w:rPr>
          <w:rFonts w:ascii="Times New Roman" w:hAnsi="Times New Roman"/>
          <w:b w:val="false"/>
          <w:i w:val="false"/>
          <w:color w:val="000000"/>
          <w:sz w:val="22"/>
        </w:rPr>
        <w:t> </w:t>
      </w:r>
      <w:r>
        <w:rPr>
          <w:rFonts w:ascii="Times New Roman" w:hAnsi="Times New Roman"/>
          <w:b w:val="false"/>
          <w:i/>
          <w:color w:val="000000"/>
          <w:sz w:val="22"/>
        </w:rPr>
        <w:t xml:space="preserve">Returns that may be used to grant power of attorney authority. </w:t>
      </w:r>
      <w:r>
        <w:rPr>
          <w:rFonts w:ascii="Times New Roman" w:hAnsi="Times New Roman"/>
          <w:b w:val="false"/>
          <w:i w:val="false"/>
          <w:color w:val="000000"/>
          <w:sz w:val="22"/>
        </w:rPr>
        <w:t xml:space="preserve">An IDR power of attorney form is not needed for individuals who have been named as an authorized representative on a fiduciary return of income filed under Iowa Code section </w:t>
      </w:r>
      <w:hyperlink r:id="rId46">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a corporation or S corporation return filed under Iowa Code section </w:t>
      </w:r>
      <w:hyperlink r:id="rId47">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a partnership return filed under Iowa Code section </w:t>
      </w:r>
      <w:hyperlink r:id="rId49">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a franchise tax return filed under Iowa Code section </w:t>
      </w:r>
      <w:hyperlink r:id="rId50">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a moneys and credits return filed under Iowa Code section </w:t>
      </w:r>
      <w:hyperlink r:id="rId51">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 xml:space="preserve">, or a tax return filed under Iowa Code chapter </w:t>
      </w:r>
      <w:hyperlink r:id="rId5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w:t>
      </w:r>
      <w:r>
        <w:rPr>
          <w:rFonts w:ascii="Times New Roman" w:hAnsi="Times New Roman"/>
          <w:b w:val="false"/>
          <w:i w:val="false"/>
          <w:color w:val="000000"/>
          <w:sz w:val="22"/>
        </w:rPr>
        <w:t> </w:t>
      </w:r>
      <w:r>
        <w:rPr>
          <w:rFonts w:ascii="Times New Roman" w:hAnsi="Times New Roman"/>
          <w:b w:val="false"/>
          <w:i/>
          <w:color w:val="000000"/>
          <w:sz w:val="22"/>
        </w:rPr>
        <w:t xml:space="preserve">Individuals authorized to represent themselves or others in a contested case proceeding. </w:t>
      </w:r>
      <w:r>
        <w:rPr>
          <w:rFonts w:ascii="Times New Roman" w:hAnsi="Times New Roman"/>
          <w:b w:val="false"/>
          <w:i w:val="false"/>
          <w:color w:val="000000"/>
          <w:sz w:val="22"/>
        </w:rPr>
        <w:t>The right to represent oneself or others in connection with any contested case proceeding before the department or administrative hearings division is limited to the following classes of individuals, so long as such representation is not barred by another provision of law. Representatives must have a valid IDR power of attorney form or valid representative certification form on file with the department to represent others in a contested case proceeding. The right to represent a taxpayer before the department or the administrative hearings division does not confer the right to represent the taxpayer in a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representing themselves. One spouse may not represent the other in contested case proceedings unless the spouse is acting in a capacity described in paragraphs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Attorneys duly qualified and entitled to practice in the courts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Attorneys who are entitled to practice before the highest court of record of any other state and who have complied with the requirements for admission to practice before the courts of the state of Iowa pro hac 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Accountants who are authorized, permitted, or licensed under Iowa Code chapter </w:t>
      </w:r>
      <w:hyperlink r:id="rId5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Duly authorized directors or officers of corporations representing the corporation of which they are respectively a director or officer. Attorneys who are acting in the capacity of a director or officer of a corporation must comply with paragraph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 representing their partnership. Attorneys who are acting in the capacity of a partner must meet the requirements of paragraph </w:t>
      </w:r>
      <w:r>
        <w:rPr>
          <w:rFonts w:ascii="Times New Roman" w:hAnsi="Times New Roman"/>
          <w:b w:val="false"/>
          <w:i w:val="false"/>
          <w:color w:val="000000"/>
          <w:sz w:val="22"/>
        </w:rPr>
        <w:t>8.8(8)</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Fiduciaries including trustees, receivers, guardians, personal representatives, administrators, and executors. For purposes of this rule, a fiduciary is considered to be the taxpayer and not a representative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Government officials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Enrolled agents, currently enrolled under 31 CFR Section 10.6(2011) for practice before the IRS, representing a taxpayer in proceedings under Iowa Code chapter </w:t>
      </w:r>
      <w:hyperlink r:id="rId5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Conservators, guardians, or durable powers of attorney appointed to handle tax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w:t>
      </w:r>
      <w:r>
        <w:rPr>
          <w:rFonts w:ascii="Times New Roman" w:hAnsi="Times New Roman"/>
          <w:b w:val="false"/>
          <w:i w:val="false"/>
          <w:color w:val="000000"/>
          <w:sz w:val="22"/>
        </w:rPr>
        <w:t> </w:t>
      </w:r>
      <w:r>
        <w:rPr>
          <w:rFonts w:ascii="Times New Roman" w:hAnsi="Times New Roman"/>
          <w:b w:val="false"/>
          <w:i/>
          <w:color w:val="000000"/>
          <w:sz w:val="22"/>
        </w:rPr>
        <w:t xml:space="preserve">Entities as 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authorize an entity to act on its behalf in tax-related matters by following the procedures described in this subrule in a manner approved by the department. By appointing an authorized entity representative, the taxpayer consents to the authorized entity representative, and any individuals submitted to the department by the authorized entity representative, as described in paragraph </w:t>
      </w:r>
      <w:r>
        <w:rPr>
          <w:rFonts w:ascii="Times New Roman" w:hAnsi="Times New Roman"/>
          <w:b w:val="false"/>
          <w:i w:val="false"/>
          <w:color w:val="000000"/>
          <w:sz w:val="22"/>
        </w:rPr>
        <w:t>8.8(9)</w:t>
      </w:r>
      <w:r>
        <w:rPr>
          <w:rFonts w:ascii="Times New Roman" w:hAnsi="Times New Roman"/>
          <w:b w:val="false"/>
          <w:i/>
          <w:color w:val="000000"/>
          <w:sz w:val="22"/>
        </w:rPr>
        <w:t>“c,”</w:t>
      </w:r>
      <w:r>
        <w:rPr>
          <w:rFonts w:ascii="Times New Roman" w:hAnsi="Times New Roman"/>
          <w:b w:val="false"/>
          <w:i w:val="false"/>
          <w:color w:val="000000"/>
          <w:sz w:val="22"/>
        </w:rPr>
        <w:t xml:space="preserve"> sending and receiving the taxpayer’s information to and from the department and taking any other action described in these rules. By appointing an authorized entity representative, the taxpayer understands that the authorized entity representative is solely responsible for maintaining an accurate list of individuals allowed to act on the taxpayer’s behalf. The taxpayer agrees that any improper disclosure or use of the taxpayer’s information by the entity or entity’s current or former employees, agents, or contractors is solely the responsibility of the entity and the entity’s employees, agents, or contractors. The department is not liable for any acts or omissions of the entity or the entity’s employees, agents, or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taxpayer’s consent must be in writing, in a form specified by the department, including a signature and date. The signature must be a handwritten signature, a digital signature with a digital certificate, or a signature otherwise accepted by the IRS for purposes of third-party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Department approval of authorized entity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authorized entity representative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to approve, deny, or remove third-party access to any entity or individual employee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Duties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is responsible for managing access for individual employees that it authorizes to act on behalf of the taxpayer in a manner defined by the department. The authorized entity representative provides the department a single point of contact for matters involving the entity’s status as an approved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single point of contact must have a valid IA 2848 or representative certification form on file on behalf of the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will provide information regarding each individual employee authorized to act on behalf of the taxpayer as determined by the department. This information will be used to identify the individual employee when contacting the department. The authorized entity representative will maintain with the department an accurate and up-to-date list of individual employees that the authorized entity representative has authorized to act on a taxpayer’s behalf under this rule. The authorized entity representative will remove any individuals from its list with the department as soon as an individual is no longer employed by the entity or is no longer authorized by the entity to act on behalf of a taxpayer. The authorized entity representative shall submit all information and changes to information to the department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is responsible for the actions taken by its employees, agents, and contractors on behalf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authorized entity representative shall remain in good standing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Powers authorized. An authorized entity representative may be granted any or all of the powers described in subrule </w:t>
      </w:r>
      <w:r>
        <w:rPr>
          <w:rFonts w:ascii="Times New Roman" w:hAnsi="Times New Roman"/>
          <w:b w:val="false"/>
          <w:i w:val="false"/>
          <w:color w:val="000000"/>
          <w:sz w:val="22"/>
        </w:rPr>
        <w:t>8.8(2)</w:t>
      </w:r>
      <w:r>
        <w:rPr>
          <w:rFonts w:ascii="Times New Roman" w:hAnsi="Times New Roman"/>
          <w:b w:val="false"/>
          <w:i w:val="false"/>
          <w:color w:val="000000"/>
          <w:sz w:val="22"/>
        </w:rPr>
        <w:t>. The taxpayer may limit the authorized entity representative as described therein and by tax type. If the tax type field is left blank, all tax types are included within the scope of the authorized entity representative’s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Contents of form. A valid IDR authorized entity representative form contains the information specified in paragraph </w:t>
      </w:r>
      <w:r>
        <w:rPr>
          <w:rFonts w:ascii="Times New Roman" w:hAnsi="Times New Roman"/>
          <w:b w:val="false"/>
          <w:i w:val="false"/>
          <w:color w:val="000000"/>
          <w:sz w:val="22"/>
        </w:rPr>
        <w:t>8.8(5)</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authorized entity representative may be used to authorize representation for an unlimited number of tax periods prior to or following the date on which the form is received by the department. If the tax period is left blank, all tax periods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while the taxpayer has an effective authorized entity representative appointment filed with the department, the taxpayer consents to allowing the authorized entity representative and any individuals listed by the authorized entity representative, as described in  paragraph </w:t>
      </w:r>
      <w:r>
        <w:rPr>
          <w:rFonts w:ascii="Times New Roman" w:hAnsi="Times New Roman"/>
          <w:b w:val="false"/>
          <w:i w:val="false"/>
          <w:color w:val="000000"/>
          <w:sz w:val="22"/>
        </w:rPr>
        <w:t>8.8(9)</w:t>
      </w:r>
      <w:r>
        <w:rPr>
          <w:rFonts w:ascii="Times New Roman" w:hAnsi="Times New Roman"/>
          <w:b w:val="false"/>
          <w:i/>
          <w:color w:val="000000"/>
          <w:sz w:val="22"/>
        </w:rPr>
        <w:t>“c,”</w:t>
      </w:r>
      <w:r>
        <w:rPr>
          <w:rFonts w:ascii="Times New Roman" w:hAnsi="Times New Roman"/>
          <w:b w:val="false"/>
          <w:i w:val="false"/>
          <w:color w:val="000000"/>
          <w:sz w:val="22"/>
        </w:rPr>
        <w:t xml:space="preserve"> to send and receive the taxpayer’s information to and from the department and take any other action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granted by an IDR power of attorney form ceases to be effective upon revocation by the taxpayer or withdrawal or dissolution of the authorized entity representative. It is the sole responsibility of the taxpayer to revoke an authorized entity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Revocation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by the taxpayer. Such appointment may be revoked by the taxpayer at any time, via GovConnectIowa or in writing to the department. The revocation must include the name and identification number of the taxpayer, the name of the representative entity, an indication of the wish to withdraw, and the taxpayer’s dated signature. If the revocation indicates that authorization should be revoked from “all” authorized representatives, this will apply to all representatives appointed via an IDR power of attorney form or entity representative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Withdrawal by the authorized entity representative. By filing a statement with the department, an authorized entity representative may withdraw from representation appointed under this subrule. The statement must be signed by the authorized entity representative single point of contact and must identify the name and address of the taxpayer(s) and the matter(s) from which the authorized entity representative is withdrawing. An authorized entity representative may withdraw from multiple matters by including with the statement a list of all matters and taxpayers for which withdrawal is desired. Such statement shall be signed by the authorized entity representative single point of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revocation by the department. The department may administratively revoke any entity representative authority.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3/2/79, Notice 1/24/79—published 3/21/79, effective 4/25/79]</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4/26/79, Notice 3/21/79—published 5/16/79, effective 6/20/79]</w:t>
      </w:r>
    </w:p>
    <w:p>
      <w:pPr>
        <w:spacing w:before="0" w:after="0"/>
        <w:ind w:left="120"/>
        <w:jc w:val="center"/>
      </w:pPr>
      <w:r>
        <w:rPr>
          <w:rFonts w:ascii="Times New Roman" w:hAnsi="Times New Roman"/>
          <w:b w:val="false"/>
          <w:i w:val="false"/>
          <w:color w:val="000000"/>
          <w:sz w:val="21"/>
        </w:rPr>
        <w:t>[Filed emergency 6/11/79—published 6/27/79, effective 6/27/79]</w:t>
      </w:r>
    </w:p>
    <w:p>
      <w:pPr>
        <w:spacing w:before="0" w:after="0"/>
        <w:ind w:left="120"/>
        <w:jc w:val="center"/>
      </w:pPr>
      <w:r>
        <w:rPr>
          <w:rFonts w:ascii="Times New Roman" w:hAnsi="Times New Roman"/>
          <w:b w:val="false"/>
          <w:i w:val="false"/>
          <w:color w:val="000000"/>
          <w:sz w:val="21"/>
        </w:rPr>
        <w:t>[Filed 6/22/79, Notice 5/16/79—published 7/11/79, effective 8/15/79]</w:t>
      </w:r>
    </w:p>
    <w:p>
      <w:pPr>
        <w:spacing w:before="0" w:after="0"/>
        <w:ind w:left="120"/>
        <w:jc w:val="center"/>
      </w:pPr>
      <w:r>
        <w:rPr>
          <w:rFonts w:ascii="Times New Roman" w:hAnsi="Times New Roman"/>
          <w:b w:val="false"/>
          <w:i w:val="false"/>
          <w:color w:val="000000"/>
          <w:sz w:val="21"/>
        </w:rPr>
        <w:t>[Filed 8/17/79, Notice 7/11/79—published 9/5/79, effective 10/11/79]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2/1/80, Notice 12/26/79—published 2/20/80, effective 3/26/80]</w:t>
      </w:r>
    </w:p>
    <w:p>
      <w:pPr>
        <w:spacing w:before="0" w:after="0"/>
        <w:ind w:left="120"/>
        <w:jc w:val="center"/>
      </w:pPr>
      <w:r>
        <w:rPr>
          <w:rFonts w:ascii="Times New Roman" w:hAnsi="Times New Roman"/>
          <w:b w:val="false"/>
          <w:i w:val="false"/>
          <w:color w:val="000000"/>
          <w:sz w:val="21"/>
        </w:rPr>
        <w:t>[Filed emergency 6/9/80—published 6/25/80, effective 6/9/80]</w:t>
      </w:r>
    </w:p>
    <w:p>
      <w:pPr>
        <w:spacing w:before="0" w:after="0"/>
        <w:ind w:left="120"/>
        <w:jc w:val="center"/>
      </w:pPr>
      <w:r>
        <w:rPr>
          <w:rFonts w:ascii="Times New Roman" w:hAnsi="Times New Roman"/>
          <w:b w:val="false"/>
          <w:i w:val="false"/>
          <w:color w:val="000000"/>
          <w:sz w:val="21"/>
        </w:rPr>
        <w:t>[Filed 6/6/80, Notice 4/30/80—published 6/25/80, effective 7/30/80]</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6/10/88, Notice 5/4/88—published 6/29/88, effective 8/3/88]</w:t>
      </w:r>
    </w:p>
    <w:p>
      <w:pPr>
        <w:spacing w:before="0" w:after="0"/>
        <w:ind w:left="120"/>
        <w:jc w:val="center"/>
      </w:pPr>
      <w:r>
        <w:rPr>
          <w:rFonts w:ascii="Times New Roman" w:hAnsi="Times New Roman"/>
          <w:b w:val="false"/>
          <w:i w:val="false"/>
          <w:color w:val="000000"/>
          <w:sz w:val="21"/>
        </w:rPr>
        <w:t>[Filed 12/22/89, Notice 11/15/89—published 1/10/90, effective 2/14/90]</w:t>
      </w:r>
    </w:p>
    <w:p>
      <w:pPr>
        <w:spacing w:before="0" w:after="0"/>
        <w:ind w:left="120"/>
        <w:jc w:val="center"/>
      </w:pPr>
      <w:r>
        <w:rPr>
          <w:rFonts w:ascii="Times New Roman" w:hAnsi="Times New Roman"/>
          <w:b w:val="false"/>
          <w:i w:val="false"/>
          <w:color w:val="000000"/>
          <w:sz w:val="21"/>
        </w:rPr>
        <w:t>[Filed 12/17/93, Notice 10/27/93—published 1/5/94, effective 2/9/94]</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8603B</w:t>
      </w:r>
      <w:r>
        <w:rPr>
          <w:rFonts w:ascii="Times New Roman" w:hAnsi="Times New Roman"/>
          <w:b w:val="false"/>
          <w:i w:val="false"/>
          <w:color w:val="000000"/>
          <w:sz w:val="21"/>
        </w:rPr>
        <w:t xml:space="preserve"> (Notice ARC 8482B,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2915C</w:t>
      </w:r>
      <w:r>
        <w:rPr>
          <w:rFonts w:ascii="Times New Roman" w:hAnsi="Times New Roman"/>
          <w:b w:val="false"/>
          <w:i w:val="false"/>
          <w:color w:val="000000"/>
          <w:sz w:val="21"/>
        </w:rPr>
        <w:t xml:space="preserve"> (Notice ARC 2825C, IAB 11/23/16)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6567C</w:t>
      </w:r>
      <w:r>
        <w:rPr>
          <w:rFonts w:ascii="Times New Roman" w:hAnsi="Times New Roman"/>
          <w:b w:val="false"/>
          <w:i w:val="false"/>
          <w:color w:val="000000"/>
          <w:sz w:val="21"/>
        </w:rPr>
        <w:t xml:space="preserve"> (Notice ARC 6448C,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6640C</w:t>
      </w:r>
      <w:r>
        <w:rPr>
          <w:rFonts w:ascii="Times New Roman" w:hAnsi="Times New Roman"/>
          <w:b w:val="false"/>
          <w:i w:val="false"/>
          <w:color w:val="000000"/>
          <w:sz w:val="21"/>
        </w:rPr>
        <w:t xml:space="preserve"> (Notice ARC 6539C,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6987C</w:t>
      </w:r>
      <w:r>
        <w:rPr>
          <w:rFonts w:ascii="Times New Roman" w:hAnsi="Times New Roman"/>
          <w:b w:val="false"/>
          <w:i w:val="false"/>
          <w:color w:val="000000"/>
          <w:sz w:val="21"/>
        </w:rPr>
        <w:t xml:space="preserve"> (Notice ARC 6882C, IAB 2/8/23)</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6990C</w:t>
      </w:r>
      <w:r>
        <w:rPr>
          <w:rFonts w:ascii="Times New Roman" w:hAnsi="Times New Roman"/>
          <w:b w:val="false"/>
          <w:i w:val="false"/>
          <w:color w:val="000000"/>
          <w:sz w:val="21"/>
        </w:rPr>
        <w:t xml:space="preserve"> (Notice ARC 6922C,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8945C</w:t>
      </w:r>
      <w:r>
        <w:rPr>
          <w:rFonts w:ascii="Times New Roman" w:hAnsi="Times New Roman"/>
          <w:b w:val="false"/>
          <w:i w:val="false"/>
          <w:color w:val="000000"/>
          <w:sz w:val="21"/>
        </w:rPr>
        <w:t xml:space="preserve"> (Notice ARC 8341C,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6.pdf" Type="http://schemas.openxmlformats.org/officeDocument/2006/relationships/hyperlink" Id="rId5"/>
    <Relationship TargetMode="External" Target="https://www.legis.iowa.gov/docs/ico/chapter/421.14.pdf" Type="http://schemas.openxmlformats.org/officeDocument/2006/relationships/hyperlink" Id="rId6"/>
    <Relationship TargetMode="External" Target="http://revenue.iowa.gov" Type="http://schemas.openxmlformats.org/officeDocument/2006/relationships/hyperlink" Id="rId7"/>
    <Relationship TargetMode="External" Target="http://iowaforms.gov" Type="http://schemas.openxmlformats.org/officeDocument/2006/relationships/hyperlink" Id="rId8"/>
    <Relationship TargetMode="External" Target="https://www.legis.iowa.gov/docs/iac/rule/701.8.5.pdf" Type="http://schemas.openxmlformats.org/officeDocument/2006/relationships/hyperlink" Id="rId9"/>
    <Relationship TargetMode="External" Target="https://www.legis.iowa.gov/docs/ico/chapter/421.14.pdf" Type="http://schemas.openxmlformats.org/officeDocument/2006/relationships/hyperlink" Id="rId10"/>
    <Relationship TargetMode="External" Target="https://www.legis.iowa.gov/docs/ico/chapter/422.13.pdf" Type="http://schemas.openxmlformats.org/officeDocument/2006/relationships/hyperlink" Id="rId11"/>
    <Relationship TargetMode="External" Target="https://www.legis.iowa.gov/docs/ico/chapter/422.14.pdf" Type="http://schemas.openxmlformats.org/officeDocument/2006/relationships/hyperlink" Id="rId12"/>
    <Relationship TargetMode="External" Target="https://www.legis.iowa.gov/docs/ico/chapter/422.16.pdf" Type="http://schemas.openxmlformats.org/officeDocument/2006/relationships/hyperlink" Id="rId13"/>
    <Relationship TargetMode="External" Target="https://www.legis.iowa.gov/docs/ico/chapter/422.36.pdf" Type="http://schemas.openxmlformats.org/officeDocument/2006/relationships/hyperlink" Id="rId14"/>
    <Relationship TargetMode="External" Target="https://www.legis.iowa.gov/docs/ico/chapter/423.31.pdf" Type="http://schemas.openxmlformats.org/officeDocument/2006/relationships/hyperlink" Id="rId15"/>
    <Relationship TargetMode="External" Target="https://www.legis.iowa.gov/docs/ico/chapter/450.53.pdf" Type="http://schemas.openxmlformats.org/officeDocument/2006/relationships/hyperlink" Id="rId16"/>
    <Relationship TargetMode="External" Target="https://www.legis.iowa.gov/docs/ico/chapter/452A.60.pdf" Type="http://schemas.openxmlformats.org/officeDocument/2006/relationships/hyperlink" Id="rId17"/>
    <Relationship TargetMode="External" Target="https://www.legis.iowa.gov/docs/ico/chapter/453A.14.pdf" Type="http://schemas.openxmlformats.org/officeDocument/2006/relationships/hyperlink" Id="rId18"/>
    <Relationship TargetMode="External" Target="mailto:IDRSubForms@iowa.gov" Type="http://schemas.openxmlformats.org/officeDocument/2006/relationships/hyperlink" Id="rId19"/>
    <Relationship TargetMode="External" Target="http://revenue.iowa.gov" Type="http://schemas.openxmlformats.org/officeDocument/2006/relationships/hyperlink" Id="rId20"/>
    <Relationship TargetMode="External" Target="mailto:IDRSubForms@iowa.gov" Type="http://schemas.openxmlformats.org/officeDocument/2006/relationships/hyperlink" Id="rId21"/>
    <Relationship TargetMode="External" Target="https://www.legis.iowa.gov/docs/ico/chapter/421.14.pdf" Type="http://schemas.openxmlformats.org/officeDocument/2006/relationships/hyperlink" Id="rId22"/>
    <Relationship TargetMode="External" Target="https://www.legis.iowa.gov/docs/iac/rule/701.8.5.pdf" Type="http://schemas.openxmlformats.org/officeDocument/2006/relationships/hyperlink" Id="rId23"/>
    <Relationship TargetMode="External" Target="https://www.legis.iowa.gov/docs/iac/rule/701.7.8.pdf" Type="http://schemas.openxmlformats.org/officeDocument/2006/relationships/hyperlink" Id="rId24"/>
    <Relationship TargetMode="External" Target="https://www.legis.iowa.gov/docs/ico/chapter/422.21.pdf" Type="http://schemas.openxmlformats.org/officeDocument/2006/relationships/hyperlink" Id="rId25"/>
    <Relationship TargetMode="External" Target="https://www.legis.iowa.gov/docs/ico/chapter/422.68.pdf" Type="http://schemas.openxmlformats.org/officeDocument/2006/relationships/hyperlink" Id="rId26"/>
    <Relationship TargetMode="External" Target="https://www.legis.iowa.gov/docs/iac/rule/701.8.8.pdf" Type="http://schemas.openxmlformats.org/officeDocument/2006/relationships/hyperlink" Id="rId27"/>
    <Relationship TargetMode="External" Target="https://www.legis.iowa.gov/docs/ico/chapter/421.60.pdf" Type="http://schemas.openxmlformats.org/officeDocument/2006/relationships/hyperlink" Id="rId28"/>
    <Relationship TargetMode="External" Target="https://www.legis.iowa.gov/docs/ico/chapter/422.61.pdf" Type="http://schemas.openxmlformats.org/officeDocument/2006/relationships/hyperlink" Id="rId29"/>
    <Relationship TargetMode="External" Target="https://www.legis.iowa.gov/docs/ico/chapter/422.4.pdf" Type="http://schemas.openxmlformats.org/officeDocument/2006/relationships/hyperlink" Id="rId30"/>
    <Relationship TargetMode="External" Target="https://www.legis.iowa.gov/docs/iac/rule/701.8.5.pdf" Type="http://schemas.openxmlformats.org/officeDocument/2006/relationships/hyperlink" Id="rId31"/>
    <Relationship TargetMode="External" Target="https://www.legis.iowa.gov/docs/ico/chapter/422.37.pdf" Type="http://schemas.openxmlformats.org/officeDocument/2006/relationships/hyperlink" Id="rId32"/>
    <Relationship TargetMode="External" Target="https://www.legis.iowa.gov/docs/iac/rule/701.8.7.pdf" Type="http://schemas.openxmlformats.org/officeDocument/2006/relationships/hyperlink" Id="rId33"/>
    <Relationship TargetMode="External" Target="https://www.legis.iowa.gov/docs/iac/rule/701.8.7.pdf" Type="http://schemas.openxmlformats.org/officeDocument/2006/relationships/hyperlink" Id="rId34"/>
    <Relationship TargetMode="External" Target="https://www.legis.iowa.gov/docs/iac/rule/701.10.6.pdf" Type="http://schemas.openxmlformats.org/officeDocument/2006/relationships/hyperlink" Id="rId35"/>
    <Relationship TargetMode="External" Target="https://www.legis.iowa.gov/docs/iac/rule/701.10.9.pdf" Type="http://schemas.openxmlformats.org/officeDocument/2006/relationships/hyperlink" Id="rId36"/>
    <Relationship TargetMode="External" Target="https://www.legis.iowa.gov/docs/iac/rule/701.8.7.pdf" Type="http://schemas.openxmlformats.org/officeDocument/2006/relationships/hyperlink" Id="rId37"/>
    <Relationship TargetMode="External" Target="https://www.legis.iowa.gov/docs/ico/chapter/421.59.pdf" Type="http://schemas.openxmlformats.org/officeDocument/2006/relationships/hyperlink" Id="rId38"/>
    <Relationship TargetMode="External" Target="https://www.legis.iowa.gov/docs/iac/rule/701.5.7.pdf" Type="http://schemas.openxmlformats.org/officeDocument/2006/relationships/hyperlink" Id="rId39"/>
    <Relationship TargetMode="External" Target="https://www.legis.iowa.gov/docs/ico/chapter/421.59.pdf" Type="http://schemas.openxmlformats.org/officeDocument/2006/relationships/hyperlink" Id="rId40"/>
    <Relationship TargetMode="External" Target="https://www.legis.iowa.gov/docs/ico/chapter/633B.pdf" Type="http://schemas.openxmlformats.org/officeDocument/2006/relationships/hyperlink" Id="rId41"/>
    <Relationship TargetMode="External" Target="https://www.legis.iowa.gov/docs/ico/chapter/421.59.pdf" Type="http://schemas.openxmlformats.org/officeDocument/2006/relationships/hyperlink" Id="rId42"/>
    <Relationship TargetMode="External" Target="https://www.legis.iowa.gov/docs/ico/chapter/421.59.pdf" Type="http://schemas.openxmlformats.org/officeDocument/2006/relationships/hyperlink" Id="rId43"/>
    <Relationship TargetMode="External" Target="https://www.legis.iowa.gov/docs/ico/chapter/680.pdf" Type="http://schemas.openxmlformats.org/officeDocument/2006/relationships/hyperlink" Id="rId44"/>
    <Relationship TargetMode="External" Target="https://www.legis.iowa.gov/docs/ico/chapter/633.356.pdf" Type="http://schemas.openxmlformats.org/officeDocument/2006/relationships/hyperlink" Id="rId45"/>
    <Relationship TargetMode="External" Target="https://www.legis.iowa.gov/docs/ico/chapter/422.14.pdf" Type="http://schemas.openxmlformats.org/officeDocument/2006/relationships/hyperlink" Id="rId46"/>
    <Relationship TargetMode="External" Target="https://www.legis.iowa.gov/docs/ico/chapter/422.36.pdf" Type="http://schemas.openxmlformats.org/officeDocument/2006/relationships/hyperlink" Id="rId47"/>
    <Relationship TargetMode="External" Target="https://www.legis.iowa.gov/docs/ico/chapter/422.37.pdf" Type="http://schemas.openxmlformats.org/officeDocument/2006/relationships/hyperlink" Id="rId48"/>
    <Relationship TargetMode="External" Target="https://www.legis.iowa.gov/docs/ico/chapter/422.15.pdf" Type="http://schemas.openxmlformats.org/officeDocument/2006/relationships/hyperlink" Id="rId49"/>
    <Relationship TargetMode="External" Target="https://www.legis.iowa.gov/docs/ico/chapter/422.62.pdf" Type="http://schemas.openxmlformats.org/officeDocument/2006/relationships/hyperlink" Id="rId50"/>
    <Relationship TargetMode="External" Target="https://www.legis.iowa.gov/docs/ico/chapter/533.329.pdf" Type="http://schemas.openxmlformats.org/officeDocument/2006/relationships/hyperlink" Id="rId51"/>
    <Relationship TargetMode="External" Target="https://www.legis.iowa.gov/docs/ico/chapter/450.pdf" Type="http://schemas.openxmlformats.org/officeDocument/2006/relationships/hyperlink" Id="rId52"/>
    <Relationship TargetMode="External" Target="https://www.legis.iowa.gov/docs/ico/chapter/542.pdf" Type="http://schemas.openxmlformats.org/officeDocument/2006/relationships/hyperlink" Id="rId53"/>
    <Relationship TargetMode="External" Target="https://www.legis.iowa.gov/docs/ico/chapter/422.pdf" Type="http://schemas.openxmlformats.org/officeDocument/2006/relationships/hyperlink" Id="rId54"/>
    <Relationship TargetMode="External" Target="https://www.legis.iowa.gov/docs/ico/chapter/17A.pdf" Type="http://schemas.openxmlformats.org/officeDocument/2006/relationships/hyperlink" Id="rId55"/>
    <Relationship TargetMode="External" Target="https://www.legis.iowa.gov/docs/ico/chapter/22.pdf" Type="http://schemas.openxmlformats.org/officeDocument/2006/relationships/hyperlink" Id="rId56"/>
    <Relationship TargetMode="External" Target="https://www.legis.iowa.gov/docs/ico/chapter/421.pdf" Type="http://schemas.openxmlformats.org/officeDocument/2006/relationships/hyperlink" Id="rId57"/>
    <Relationship TargetMode="External" Target="https://www.legis.iowa.gov/docs/ico/chapter/422.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