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 xml:space="preserve"> CONTESTED CASES RELATED TO ALCOHOL AND LOTTERY PROCEEDINGS </w:t>
      </w:r>
    </w:p>
    <w:p>
      <w:pPr>
        <w:spacing w:before="0" w:after="0"/>
        <w:ind w:left="120"/>
        <w:jc w:val="center"/>
      </w:pPr>
      <w:r>
        <w:rPr>
          <w:rFonts w:ascii="Times New Roman" w:hAnsi="Times New Roman"/>
          <w:b w:val="false"/>
          <w:i w:val="false"/>
          <w:color w:val="000000"/>
          <w:sz w:val="14"/>
        </w:rPr>
        <w:t>[Prior to 10/7/87, see Revenue Department[730]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701—6.1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pursuant to the department’s authority under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7">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pursuant to Iowa Code section </w:t>
      </w:r>
      <w:hyperlink r:id="rId8">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r>
        <w:rPr>
          <w:rFonts w:ascii="Times New Roman" w:hAnsi="Times New Roman"/>
          <w:b w:val="false"/>
          <w:i w:val="false"/>
          <w:color w:val="000000"/>
          <w:sz w:val="22"/>
        </w:rPr>
        <w:t xml:space="preserve">means a statement in writing filed by, or on behalf of, the department; a local authority having jurisdiction; or the department of public safety that sets forth the acts or omissions with which the respondent is charged, including the statute(s) and rule(s) that are alleged to have been violated under Iowa Code chapter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 hearing complaint shall be in sufficient detail to enable the preparation of the respondent’s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or otherwise electronically providing a copy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director, the director’s designee, or an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director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requirements for the department are provided in rule </w:t>
      </w:r>
      <w:hyperlink r:id="rId10">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Requests for a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shall file a written request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should state the name and address of the requester, identify the specific agency action that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rules provide by the department of inspections, appeals, and licensing, as provided for by Iowa Code section </w:t>
      </w:r>
      <w:hyperlink r:id="rId11">
        <w:r>
          <w:rPr>
            <w:rStyle w:val="Hyperlink"/>
            <w:rFonts w:ascii="Times New Roman" w:hAnsi="Times New Roman"/>
            <w:b w:val="false"/>
            <w:i w:val="false"/>
            <w:color w:val="000000"/>
            <w:sz w:val="22"/>
          </w:rPr>
          <w:t>10A.802(4)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department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department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 xml:space="preserve">The director may appoint an administrative law judge as presiding officer in all contested case hearings pursuant to Iowa Code chapter </w:t>
      </w:r>
      <w:hyperlink r:id="rId12">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 A party must seek any available intra-agency appeal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r>
        <w:rPr>
          <w:rFonts w:ascii="Times New Roman" w:hAnsi="Times New Roman"/>
          <w:b w:val="false"/>
          <w:i w:val="false"/>
          <w:color w:val="000000"/>
          <w:sz w:val="22"/>
        </w:rPr>
        <w:t>Unless otherwise provided by law, the director, when reviewing a proposed decision upon intra-agency appeal, shall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department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Telephone or video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or video proceedings may be held with the consent of all parties. The presiding officer will determine the location of the parties and witnesses for telephone or video hearings. The convenience of the witnesses or parties, as well as the nature of the case, will be considered when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Consolidation—severance. </w:t>
      </w:r>
      <w:r>
        <w:rPr>
          <w:rFonts w:ascii="Times New Roman" w:hAnsi="Times New Roman"/>
          <w:b w:val="false"/>
          <w:i w:val="false"/>
          <w:color w:val="000000"/>
          <w:sz w:val="22"/>
        </w:rPr>
        <w:t xml:space="preserve">Consolidation and severance procedures for the department are provided in </w:t>
      </w:r>
      <w:hyperlink r:id="rId14">
        <w:r>
          <w:rPr>
            <w:rStyle w:val="Hyperlink"/>
            <w:rFonts w:ascii="Times New Roman" w:hAnsi="Times New Roman"/>
            <w:b w:val="false"/>
            <w:i w:val="false"/>
            <w:color w:val="000000"/>
            <w:sz w:val="22"/>
          </w:rPr>
          <w:t>701—subrule 7.18(12)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Alcohol-related 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chapter </w:t>
      </w:r>
      <w:hyperlink r:id="rId1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violation of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complaint alleging a violation of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must be filed with the department or the local authority within three years from the date of the alleged violation or the date of conviction for the violation,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hearing complaint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hearing complaint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hearing complaint, or other charging document may be amended before a responsive pleading has been filed. Amendments to pleadings after a responsive pleading has been filed and to an answer may be allowed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or by electronic service as permitted by the presiding officer and the Iowa Rules of Civil Procedure.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presiding officer, delivered to an established courier service for immediate delivery to the presiding officer, or mailed by first-class mail or state interoffice mail to the presiding officer, so long as there is proof of mailing. Parties may file documents by electronic transmission. Filing by electronic transmission is complete upon transmission unless the party making the filing learns that the attempted filing did not reach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538"/>
        <w:gridCol w:w="4109"/>
        <w:gridCol w:w="6873"/>
      </w:tblGrid>
      <w:tr>
        <w:trPr>
          <w:trHeight w:val="120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 I certify under penalty of perjury and pursuant to the laws of Iowa that, on (date of mailing), I mailed copies of (describe document) addressed to the (department or presiding officer and address), and to the names and addresses of the parties listed below by depositing the same in (a United States post office mailbox with correct postage properly affixed or state interoffice mail). </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Discovery motions shall be ruled upon by the presiding officer. Opposing parties shall be afforded the opportunity to respond within ten days of the filing of the motion unless the time is shortened as provided in this chapter.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subpoenas. A department subpoena shall be issued to a party on request. Subpoenas may compel the attendance of witnesses at deposition or hearing and the production of books, papers, records, and other real evidence unless they are otherwise expressly exempt from disclosure by law. A command to produce evidence or to permit inspection may be joined with a command to appear at deposition or hearing, or each command may be issued separately. Subpoenas shall be issued by the presiding officer upon a written request. Such a request must be in writing. In the absence of good cause for permitting later action, a request for a subpoena must be received at least three days before the scheduled hearing. The request shall include the name, address, and telephone number of the requesting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of subpoenas. 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Prehearing motions.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Written responses. </w:t>
      </w:r>
      <w:r>
        <w:rPr>
          <w:rFonts w:ascii="Times New Roman" w:hAnsi="Times New Roman"/>
          <w:b w:val="false"/>
          <w:i w:val="false"/>
          <w:color w:val="000000"/>
          <w:sz w:val="22"/>
        </w:rPr>
        <w:t>Any party may file a written response to a motion within ten days after the motion is served unless the time period is extended or shortened by applicable administrative rules or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an applicable rule of the department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are subject to Iowa Rules of Civil Procedure 1.981, 1.982, and 1.983 but only to the extent consistent with the provisions of this rule or any other provision of law governing the procedure in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must be filed and served at least 45 days prior to the scheduled hearing date or other time period determined by the presiding officer. Any party resisting the motion may file and serve a resistance within 15 days, unless otherwise ordered by the presiding officer, from the date a copy of the motion was served. The time fixed for hearing or nonoral submission will be at least 20 days after the filing of the motion unless the presiding officer orders a shorter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judgment order rendered on all issues in a contested case is subject to rehearing and appeal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 xml:space="preserve">Prehearing conference requirements are set forth in </w:t>
      </w:r>
      <w:hyperlink r:id="rId18">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continuance. </w:t>
      </w:r>
      <w:r>
        <w:rPr>
          <w:rFonts w:ascii="Times New Roman" w:hAnsi="Times New Roman"/>
          <w:b w:val="false"/>
          <w:i w:val="false"/>
          <w:color w:val="000000"/>
          <w:sz w:val="22"/>
        </w:rPr>
        <w:t>A written application for a continuance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for a good cause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the presiding officer waives that requirement. No application for continuance may be made or granted without notice to all parties except in an emergency where notice is not feasible. The department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Issuing of continuance.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 Notwithstanding the foregoing, each party is entitled to one continuance without the need of a good cause showing unless a continuance would cause the contested case proceeding to exceed a time limit set forth in another applicable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states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should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is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 xml:space="preserve">The movant should demonstrate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Representative of parties. </w:t>
      </w:r>
      <w:r>
        <w:rPr>
          <w:rFonts w:ascii="Times New Roman" w:hAnsi="Times New Roman"/>
          <w:b w:val="false"/>
          <w:i w:val="false"/>
          <w:color w:val="000000"/>
          <w:sz w:val="22"/>
        </w:rPr>
        <w:t>Parties have the right to participate or to be represented in all hearings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color w:val="000000"/>
          <w:sz w:val="22"/>
        </w:rPr>
        <w:t xml:space="preserve">Role of parties.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6.19(5)</w:t>
      </w:r>
      <w:r>
        <w:rPr>
          <w:rFonts w:ascii="Times New Roman" w:hAnsi="Times New Roman"/>
          <w:b w:val="false"/>
          <w:i w:val="false"/>
          <w:color w:val="000000"/>
          <w:sz w:val="22"/>
        </w:rPr>
        <w:t> </w:t>
      </w:r>
      <w:r>
        <w:rPr>
          <w:rFonts w:ascii="Times New Roman" w:hAnsi="Times New Roman"/>
          <w:b w:val="false"/>
          <w:i/>
          <w:color w:val="000000"/>
          <w:sz w:val="22"/>
        </w:rPr>
        <w:t xml:space="preserve">Decorum of hearing.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6.19(6)</w:t>
      </w:r>
      <w:r>
        <w:rPr>
          <w:rFonts w:ascii="Times New Roman" w:hAnsi="Times New Roman"/>
          <w:b w:val="false"/>
          <w:i w:val="false"/>
          <w:color w:val="000000"/>
          <w:sz w:val="22"/>
        </w:rPr>
        <w:t> </w:t>
      </w:r>
      <w:r>
        <w:rPr>
          <w:rFonts w:ascii="Times New Roman" w:hAnsi="Times New Roman"/>
          <w:b w:val="false"/>
          <w:i/>
          <w:color w:val="000000"/>
          <w:sz w:val="22"/>
        </w:rPr>
        <w:t xml:space="preserve">Sequestering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6.19(7)</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presiding officer conducts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is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w:t>
      </w:r>
      <w:r>
        <w:rPr>
          <w:rFonts w:ascii="Times New Roman" w:hAnsi="Times New Roman"/>
          <w:b w:val="false"/>
          <w:i w:val="false"/>
          <w:color w:val="000000"/>
          <w:sz w:val="22"/>
        </w:rPr>
        <w:t> </w:t>
      </w:r>
      <w:r>
        <w:rPr>
          <w:rFonts w:ascii="Times New Roman" w:hAnsi="Times New Roman"/>
          <w:b w:val="false"/>
          <w:i/>
          <w:color w:val="000000"/>
          <w:sz w:val="22"/>
        </w:rPr>
        <w:t xml:space="preserve">Stipulation of facts.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w:t>
      </w:r>
      <w:r>
        <w:rPr>
          <w:rFonts w:ascii="Times New Roman" w:hAnsi="Times New Roman"/>
          <w:b w:val="false"/>
          <w:i w:val="false"/>
          <w:color w:val="000000"/>
          <w:sz w:val="22"/>
        </w:rPr>
        <w:t> </w:t>
      </w:r>
      <w:r>
        <w:rPr>
          <w:rFonts w:ascii="Times New Roman" w:hAnsi="Times New Roman"/>
          <w:b w:val="false"/>
          <w:i/>
          <w:color w:val="000000"/>
          <w:sz w:val="22"/>
        </w:rPr>
        <w:t xml:space="preserve">Scope of evidence. </w:t>
      </w:r>
      <w:r>
        <w:rPr>
          <w:rFonts w:ascii="Times New Roman" w:hAnsi="Times New Roman"/>
          <w:b w:val="false"/>
          <w:i w:val="false"/>
          <w:color w:val="000000"/>
          <w:sz w:val="22"/>
        </w:rPr>
        <w:t>Evidence in the proceeding should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w:t>
      </w:r>
      <w:r>
        <w:rPr>
          <w:rFonts w:ascii="Times New Roman" w:hAnsi="Times New Roman"/>
          <w:b w:val="false"/>
          <w:i w:val="false"/>
          <w:color w:val="000000"/>
          <w:sz w:val="22"/>
        </w:rPr>
        <w:t> </w:t>
      </w:r>
      <w:r>
        <w:rPr>
          <w:rFonts w:ascii="Times New Roman" w:hAnsi="Times New Roman"/>
          <w:b w:val="false"/>
          <w:i/>
          <w:color w:val="000000"/>
          <w:sz w:val="22"/>
        </w:rPr>
        <w:t xml:space="preserve">Admission and examination.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w:t>
      </w:r>
      <w:r>
        <w:rPr>
          <w:rFonts w:ascii="Times New Roman" w:hAnsi="Times New Roman"/>
          <w:b w:val="false"/>
          <w:i w:val="false"/>
          <w:color w:val="000000"/>
          <w:sz w:val="22"/>
        </w:rPr>
        <w:t> </w:t>
      </w:r>
      <w:r>
        <w:rPr>
          <w:rFonts w:ascii="Times New Roman" w:hAnsi="Times New Roman"/>
          <w:b w:val="false"/>
          <w:i/>
          <w:color w:val="000000"/>
          <w:sz w:val="22"/>
        </w:rPr>
        <w:t xml:space="preserve">Objection.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w:t>
      </w:r>
      <w:r>
        <w:rPr>
          <w:rFonts w:ascii="Times New Roman" w:hAnsi="Times New Roman"/>
          <w:b w:val="false"/>
          <w:i w:val="false"/>
          <w:color w:val="000000"/>
          <w:sz w:val="22"/>
        </w:rPr>
        <w:t> </w:t>
      </w:r>
      <w:r>
        <w:rPr>
          <w:rFonts w:ascii="Times New Roman" w:hAnsi="Times New Roman"/>
          <w:b w:val="false"/>
          <w:i/>
          <w:color w:val="000000"/>
          <w:sz w:val="22"/>
        </w:rPr>
        <w:t xml:space="preserve">Offer of service.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Default. </w:t>
      </w:r>
      <w:r>
        <w:rPr>
          <w:rFonts w:ascii="Times New Roman" w:hAnsi="Times New Roman"/>
          <w:b w:val="false"/>
          <w:i w:val="false"/>
          <w:color w:val="000000"/>
          <w:sz w:val="22"/>
        </w:rPr>
        <w:t xml:space="preserve">Default procedures for the department are set forth in </w:t>
      </w:r>
      <w:hyperlink r:id="rId19">
        <w:r>
          <w:rPr>
            <w:rStyle w:val="Hyperlink"/>
            <w:rFonts w:ascii="Times New Roman" w:hAnsi="Times New Roman"/>
            <w:b w:val="false"/>
            <w:i w:val="false"/>
            <w:color w:val="000000"/>
            <w:sz w:val="22"/>
          </w:rPr>
          <w:t>701—subrule 7.18(7)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Ex parte communication and disqualification. </w:t>
      </w:r>
      <w:r>
        <w:rPr>
          <w:rFonts w:ascii="Times New Roman" w:hAnsi="Times New Roman"/>
          <w:b w:val="false"/>
          <w:i w:val="false"/>
          <w:color w:val="000000"/>
          <w:sz w:val="22"/>
        </w:rPr>
        <w:t xml:space="preserve">Ex parte communication and disqualification matters requirements are set forth in rule </w:t>
      </w:r>
      <w:hyperlink r:id="rId20">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 xml:space="preserve">Recording cost requirements are provided in rule </w:t>
      </w:r>
      <w:hyperlink r:id="rId21">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 xml:space="preserve">Interlocutory appeal procedures for the department are set forth in </w:t>
      </w:r>
      <w:hyperlink r:id="rId22">
        <w:r>
          <w:rPr>
            <w:rStyle w:val="Hyperlink"/>
            <w:rFonts w:ascii="Times New Roman" w:hAnsi="Times New Roman"/>
            <w:b w:val="false"/>
            <w:i w:val="false"/>
            <w:color w:val="000000"/>
            <w:sz w:val="22"/>
          </w:rPr>
          <w:t>701—subrule 7.18(11)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Director’s final decision. </w:t>
      </w:r>
      <w:r>
        <w:rPr>
          <w:rFonts w:ascii="Times New Roman" w:hAnsi="Times New Roman"/>
          <w:b w:val="false"/>
          <w:i w:val="false"/>
          <w:color w:val="000000"/>
          <w:sz w:val="22"/>
        </w:rPr>
        <w:t>When the director presides over the reception of evidence at the hearing, the director’s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When the director does not preside at the reception of evidence, the presiding officer makes a proposed decision. The proposed decision becomes the final decision of the agency without further proceedings unless there is an appeal to, or review on motion of, the director within the time provided in rule </w:t>
      </w:r>
      <w:hyperlink r:id="rId23">
        <w:r>
          <w:rPr>
            <w:rStyle w:val="Hyperlink"/>
            <w:rFonts w:ascii="Times New Roman" w:hAnsi="Times New Roman"/>
            <w:b w:val="false"/>
            <w:i w:val="false"/>
            <w:color w:val="000000"/>
            <w:sz w:val="22"/>
          </w:rPr>
          <w:t>701—6.26</w:t>
        </w:r>
      </w:hyperlink>
      <w:r>
        <w:rPr>
          <w:rFonts w:ascii="Times New Roman" w:hAnsi="Times New Roman"/>
          <w:b w:val="false"/>
          <w:i w:val="false"/>
          <w:color w:val="000000"/>
          <w:sz w:val="22"/>
        </w:rPr>
        <w:t>(99G,123,17A).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director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director may initiate review of a proposed decision on the director’s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department.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director may remand  a case to the presiding officer for further hearing or the director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30 days of the notice of appeal or order for review, each appealing party may file exceptions and briefs. Within 30 days thereafter, any party may file a responsive brief. Briefs shall cite any applicable legal authority and specify relevant portions of the record in that proceeding. Written requests to present oral argument shall be filed with the briefs. The director may resolve the appeal on the briefs or provide an opportunity for oral argument. The director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Applications for rehearing. </w:t>
      </w:r>
      <w:r>
        <w:rPr>
          <w:rFonts w:ascii="Times New Roman" w:hAnsi="Times New Roman"/>
          <w:b w:val="false"/>
          <w:i w:val="false"/>
          <w:color w:val="000000"/>
          <w:sz w:val="22"/>
        </w:rPr>
        <w:t xml:space="preserve">Procedures to apply for rehearing for the department are set forth in rule </w:t>
      </w:r>
      <w:hyperlink r:id="rId24">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appeal. </w:t>
      </w:r>
      <w:r>
        <w:rPr>
          <w:rFonts w:ascii="Times New Roman" w:hAnsi="Times New Roman"/>
          <w:b w:val="false"/>
          <w:i w:val="false"/>
          <w:color w:val="000000"/>
          <w:sz w:val="22"/>
        </w:rPr>
        <w:t>Any party to a contested case proceeding may petition the department for a stay of an order issued in that proceeding or for other temporary remedies, pending review. The petition shall be filed with the notice of appeal and shall state the reasons justifying a stay or other temporary remedy. The director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Stay or temporary remedy. </w:t>
      </w:r>
      <w:r>
        <w:rPr>
          <w:rFonts w:ascii="Times New Roman" w:hAnsi="Times New Roman"/>
          <w:b w:val="false"/>
          <w:i w:val="false"/>
          <w:color w:val="000000"/>
          <w:sz w:val="22"/>
        </w:rPr>
        <w:t>Any party to a contested case proceeding may petition the department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director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 of relief to the applicant will substantially harm other parties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agency is sufficient to justify the agency’s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any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 xml:space="preserve">If the parties agree that no dispute of material fact exists as to a matter that would be a contested case if such a dispute of fact existed, the parties may present all relevant admissible evidence either by stipulation or otherwise as agreed by the parties, without necessity of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 found under subrule </w:t>
      </w:r>
      <w:r>
        <w:rPr>
          <w:rFonts w:ascii="Times New Roman" w:hAnsi="Times New Roman"/>
          <w:b w:val="false"/>
          <w:i w:val="false"/>
          <w:color w:val="000000"/>
          <w:sz w:val="22"/>
        </w:rPr>
        <w:t>6.14(5)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2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department by emergency adjudicative order. 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  After issuance of an emergency adjudicative order, continuance of further agency proceedings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A party to a controversy that may culminate or has culminated in contested case proceedings may attempt informal settlement by complying with the procedures set forth in this rule. No party is required to settle the controversy or contested case by submitting to informal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are to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director,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A proposed settlement that is not accepted or signed by the parties and the director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5/9/80, Notice 4/2/80—published 5/28/80, effective 7/2/80]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4/23/81, Notice 3/18/81—published 5/13/81, effective 6/17/81]</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8/12/83, Notice 7/6/83—published 8/31/83, effective 10/5/83]</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11/21/90, Notice 10/17/90—published 12/12/90, effective 1/16/91]</w:t>
      </w:r>
    </w:p>
    <w:p>
      <w:pPr>
        <w:spacing w:before="0" w:after="0"/>
        <w:ind w:left="120"/>
        <w:jc w:val="center"/>
      </w:pPr>
      <w:r>
        <w:rPr>
          <w:rFonts w:ascii="Times New Roman" w:hAnsi="Times New Roman"/>
          <w:b w:val="false"/>
          <w:i w:val="false"/>
          <w:color w:val="000000"/>
          <w:sz w:val="21"/>
        </w:rPr>
        <w:t>[Filed 9/27/91, Notice 8/21/91—published 10/21/91, effective 11/20/91]</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10A.pdf" Type="http://schemas.openxmlformats.org/officeDocument/2006/relationships/hyperlink" Id="rId8"/>
    <Relationship TargetMode="External" Target="https://www.legis.iowa.gov/docs/ico/chapter/123.pdf" Type="http://schemas.openxmlformats.org/officeDocument/2006/relationships/hyperlink" Id="rId9"/>
    <Relationship TargetMode="External" Target="https://www.legis.iowa.gov/docs/iac/rule/701.7.4.pdf" Type="http://schemas.openxmlformats.org/officeDocument/2006/relationships/hyperlink" Id="rId10"/>
    <Relationship TargetMode="External" Target="https://www.legis.iowa.gov/docs/ico/chapter/10A.802.pdf" Type="http://schemas.openxmlformats.org/officeDocument/2006/relationships/hyperlink" Id="rId11"/>
    <Relationship TargetMode="External" Target="https://www.legis.iowa.gov/docs/ico/chapter/99G.pdf" Type="http://schemas.openxmlformats.org/officeDocument/2006/relationships/hyperlink" Id="rId12"/>
    <Relationship TargetMode="External" Target="https://www.legis.iowa.gov/docs/ico/chapter/123.pdf" Type="http://schemas.openxmlformats.org/officeDocument/2006/relationships/hyperlink" Id="rId13"/>
    <Relationship TargetMode="External" Target="https://www.legis.iowa.gov/docs/iac/rule/701.7.18.pdf" Type="http://schemas.openxmlformats.org/officeDocument/2006/relationships/hyperlink" Id="rId14"/>
    <Relationship TargetMode="External" Target="https://www.legis.iowa.gov/docs/ico/chapter/123.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ac/rule/701.7.17.pdf" Type="http://schemas.openxmlformats.org/officeDocument/2006/relationships/hyperlink" Id="rId18"/>
    <Relationship TargetMode="External" Target="https://www.legis.iowa.gov/docs/iac/rule/701.7.18.pdf" Type="http://schemas.openxmlformats.org/officeDocument/2006/relationships/hyperlink" Id="rId19"/>
    <Relationship TargetMode="External" Target="https://www.legis.iowa.gov/docs/iac/rule/701.7.22.pdf" Type="http://schemas.openxmlformats.org/officeDocument/2006/relationships/hyperlink" Id="rId20"/>
    <Relationship TargetMode="External" Target="https://www.legis.iowa.gov/docs/iac/rule/701.7.20.pdf" Type="http://schemas.openxmlformats.org/officeDocument/2006/relationships/hyperlink" Id="rId21"/>
    <Relationship TargetMode="External" Target="https://www.legis.iowa.gov/docs/iac/rule/701.7.18.pdf" Type="http://schemas.openxmlformats.org/officeDocument/2006/relationships/hyperlink" Id="rId22"/>
    <Relationship TargetMode="External" Target="https://www.legis.iowa.gov/docs/iac/rule/701.6.26.pdf" Type="http://schemas.openxmlformats.org/officeDocument/2006/relationships/hyperlink" Id="rId23"/>
    <Relationship TargetMode="External" Target="https://www.legis.iowa.gov/docs/iac/rule/701.7.21.pdf" Type="http://schemas.openxmlformats.org/officeDocument/2006/relationships/hyperlink" Id="rId24"/>
    <Relationship TargetMode="External" Target="https://www.legis.iowa.gov/docs/ico/chapter/17A.18A.pdf" Type="http://schemas.openxmlformats.org/officeDocument/2006/relationships/hyperlink" Id="rId25"/>
    <Relationship TargetMode="External" Target="https://www.legis.iowa.gov/docs/ico/chapter/17A.10.pdf" Type="http://schemas.openxmlformats.org/officeDocument/2006/relationships/hyperlink" Id="rId26"/>
    <Relationship TargetMode="External" Target="https://www.legis.iowa.gov/docs/ico/chapter/17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