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ORGANIZATION</w:t>
      </w:r>
    </w:p>
    <w:p>
      <w:pPr>
        <w:spacing w:before="0" w:after="0"/>
        <w:ind w:left="120"/>
        <w:jc w:val="center"/>
      </w:pPr>
      <w:r>
        <w:rPr>
          <w:rFonts w:ascii="Times New Roman" w:hAnsi="Times New Roman"/>
          <w:b w:val="false"/>
          <w:i w:val="false"/>
          <w:color w:val="000000"/>
          <w:sz w:val="14"/>
        </w:rPr>
        <w:t>[Prior to 12/17/86, Revenue Department[730]]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701—2.1</w:t>
      </w:r>
      <w:r>
        <w:rPr>
          <w:rFonts w:ascii="Times New Roman" w:hAnsi="Times New Roman"/>
          <w:b/>
          <w:i w:val="false"/>
          <w:color w:val="000000"/>
          <w:sz w:val="22"/>
        </w:rPr>
        <w:t xml:space="preserve">(17A) </w:t>
      </w:r>
      <w:r>
        <w:rPr>
          <w:rFonts w:ascii="Times New Roman" w:hAnsi="Times New Roman"/>
          <w:b/>
          <w:i w:val="false"/>
          <w:color w:val="000000"/>
          <w:sz w:val="22"/>
        </w:rPr>
        <w:t xml:space="preserve">Establishment of the department. </w:t>
      </w:r>
      <w:r>
        <w:rPr>
          <w:rFonts w:ascii="Times New Roman" w:hAnsi="Times New Roman"/>
          <w:b w:val="false"/>
          <w:i w:val="false"/>
          <w:color w:val="000000"/>
          <w:sz w:val="22"/>
        </w:rPr>
        <w:t xml:space="preserve">Iowa Code sections </w:t>
      </w:r>
      <w:hyperlink r:id="rId5">
        <w:r>
          <w:rPr>
            <w:rStyle w:val="Hyperlink"/>
            <w:rFonts w:ascii="Times New Roman" w:hAnsi="Times New Roman"/>
            <w:b w:val="false"/>
            <w:i w:val="false"/>
            <w:color w:val="000000"/>
            <w:sz w:val="22"/>
          </w:rPr>
          <w:t>7E.5(1)</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421.2</w:t>
        </w:r>
      </w:hyperlink>
      <w:r>
        <w:rPr>
          <w:rFonts w:ascii="Times New Roman" w:hAnsi="Times New Roman"/>
          <w:b w:val="false"/>
          <w:i w:val="false"/>
          <w:color w:val="000000"/>
          <w:sz w:val="22"/>
        </w:rPr>
        <w:t> establish a department of revenue to be administered by a director of revenue with primary responsibility for revenue collection and revenue law compliance, as well as administration of the Iowa lottery and alcoholic beverage control.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w:t>
      </w:r>
      <w:r>
        <w:rPr>
          <w:rFonts w:ascii="Times New Roman" w:hAnsi="Times New Roman"/>
          <w:b/>
          <w:i w:val="false"/>
          <w:color w:val="000000"/>
          <w:sz w:val="22"/>
        </w:rPr>
        <w:t xml:space="preserve">(17A) </w:t>
      </w:r>
      <w:r>
        <w:rPr>
          <w:rFonts w:ascii="Times New Roman" w:hAnsi="Times New Roman"/>
          <w:b/>
          <w:i w:val="false"/>
          <w:color w:val="000000"/>
          <w:sz w:val="22"/>
        </w:rPr>
        <w:t xml:space="preserve">Mission. </w:t>
      </w:r>
      <w:r>
        <w:rPr>
          <w:rFonts w:ascii="Times New Roman" w:hAnsi="Times New Roman"/>
          <w:b w:val="false"/>
          <w:i w:val="false"/>
          <w:color w:val="000000"/>
          <w:sz w:val="22"/>
        </w:rPr>
        <w:t>The mission of the department is to serve Iowans through the responsible collection and generation of revenue to support the public good.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701—2.3</w:t>
      </w:r>
      <w:r>
        <w:rPr>
          <w:rFonts w:ascii="Times New Roman" w:hAnsi="Times New Roman"/>
          <w:b/>
          <w:i w:val="false"/>
          <w:color w:val="000000"/>
          <w:sz w:val="22"/>
        </w:rPr>
        <w:t xml:space="preserve">(17A) </w:t>
      </w:r>
      <w:r>
        <w:rPr>
          <w:rFonts w:ascii="Times New Roman" w:hAnsi="Times New Roman"/>
          <w:b/>
          <w:i w:val="false"/>
          <w:color w:val="000000"/>
          <w:sz w:val="22"/>
        </w:rPr>
        <w:t xml:space="preserve">Offices. </w:t>
      </w:r>
      <w:r>
        <w:rPr>
          <w:rFonts w:ascii="Times New Roman" w:hAnsi="Times New Roman"/>
          <w:b w:val="false"/>
          <w:i w:val="false"/>
          <w:color w:val="000000"/>
          <w:sz w:val="22"/>
        </w:rPr>
        <w:t xml:space="preserve">The department headquarters is maintained at the seat of state government in the Hoover State Office Building, 1305 East Walnut Street, P.O. Box 10460, Des Moines, Iowa 50319. Office hours of the department are 8 a.m. to 4:30 p.m., Monday through Friday. Offices are closed on Saturdays, Sundays, and official state holidays designated in accordance with state laws.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Regional office of alcohol operations. </w:t>
      </w:r>
      <w:r>
        <w:rPr>
          <w:rFonts w:ascii="Times New Roman" w:hAnsi="Times New Roman"/>
          <w:b w:val="false"/>
          <w:i w:val="false"/>
          <w:color w:val="000000"/>
          <w:sz w:val="22"/>
        </w:rPr>
        <w:t xml:space="preserve">The office of alcohol operations is located at 1918 S.E. Hulsizer Road, Ankeny, Iowa 50021; telephone 515.281.7400 or 1.866.469.2223.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Offices of lottery operations. </w:t>
      </w:r>
      <w:r>
        <w:rPr>
          <w:rFonts w:ascii="Times New Roman" w:hAnsi="Times New Roman"/>
          <w:b w:val="false"/>
          <w:i w:val="false"/>
          <w:color w:val="000000"/>
          <w:sz w:val="22"/>
        </w:rPr>
        <w:t>The main office of the Iowa lottery division is located at 13001 University Avenue, Clive, Iowa 50325-8225. The lottery division has regional offices in Cedar Rapids, Mason City, and Storm Lake, which offer some of the services available at the lottery division’s main office, and a central warehouse in Ankeny. The Iowa lottery commission may be contacted through the lottery division’s main office. Prize-redemption hours at lottery division offices are 8 a.m. to 4 p.m., Monday through Friday, with lottery offices closed on weekends and official state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701—2.4</w:t>
      </w:r>
      <w:r>
        <w:rPr>
          <w:rFonts w:ascii="Times New Roman" w:hAnsi="Times New Roman"/>
          <w:b/>
          <w:i w:val="false"/>
          <w:color w:val="000000"/>
          <w:sz w:val="22"/>
        </w:rPr>
        <w:t xml:space="preserve">(17A) </w:t>
      </w:r>
      <w:r>
        <w:rPr>
          <w:rFonts w:ascii="Times New Roman" w:hAnsi="Times New Roman"/>
          <w:b/>
          <w:i w:val="false"/>
          <w:color w:val="000000"/>
          <w:sz w:val="22"/>
        </w:rPr>
        <w:t xml:space="preserve">Department Internet websites.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Main website of the department. </w:t>
      </w:r>
      <w:r>
        <w:rPr>
          <w:rFonts w:ascii="Times New Roman" w:hAnsi="Times New Roman"/>
          <w:b w:val="false"/>
          <w:i w:val="false"/>
          <w:color w:val="000000"/>
          <w:sz w:val="22"/>
        </w:rPr>
        <w:t xml:space="preserve">The department’s main Internet home page is </w:t>
      </w:r>
      <w:hyperlink r:id="rId7">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Website of lottery division. </w:t>
      </w:r>
      <w:r>
        <w:rPr>
          <w:rFonts w:ascii="Times New Roman" w:hAnsi="Times New Roman"/>
          <w:b w:val="false"/>
          <w:i w:val="false"/>
          <w:color w:val="000000"/>
          <w:sz w:val="22"/>
        </w:rPr>
        <w:t xml:space="preserve">The lottery division’s Internet home page is </w:t>
      </w:r>
      <w:hyperlink r:id="rId8">
        <w:r>
          <w:rPr>
            <w:rStyle w:val="Hyperlink"/>
            <w:rFonts w:ascii="Times New Roman" w:hAnsi="Times New Roman"/>
            <w:b w:val="false"/>
            <w:i w:val="false"/>
            <w:color w:val="000000"/>
            <w:sz w:val="22"/>
            <w:u w:val="single"/>
          </w:rPr>
          <w:t>www.ialottery.com</w:t>
        </w:r>
      </w:hyperlink>
      <w:r>
        <w:rPr>
          <w:rFonts w:ascii="Times New Roman" w:hAnsi="Times New Roman"/>
          <w:b w:val="false"/>
          <w:i w:val="false"/>
          <w:color w:val="000000"/>
          <w:sz w:val="22"/>
        </w:rPr>
        <w:t>. Information regarding the lottery’s main and regional offices can be obtained on the lottery website, on point-of-sale game-play publications, and by contacting the main office of the lottery.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701—2.5</w:t>
      </w:r>
      <w:r>
        <w:rPr>
          <w:rFonts w:ascii="Times New Roman" w:hAnsi="Times New Roman"/>
          <w:b/>
          <w:i w:val="false"/>
          <w:color w:val="000000"/>
          <w:sz w:val="22"/>
        </w:rPr>
        <w:t xml:space="preserve">(17A) </w:t>
      </w:r>
      <w:r>
        <w:rPr>
          <w:rFonts w:ascii="Times New Roman" w:hAnsi="Times New Roman"/>
          <w:b/>
          <w:i w:val="false"/>
          <w:color w:val="000000"/>
          <w:sz w:val="22"/>
        </w:rPr>
        <w:t xml:space="preserve">Organization of the department. </w:t>
      </w:r>
      <w:r>
        <w:rPr>
          <w:rFonts w:ascii="Times New Roman" w:hAnsi="Times New Roman"/>
          <w:b w:val="false"/>
          <w:i w:val="false"/>
          <w:color w:val="000000"/>
          <w:sz w:val="22"/>
        </w:rPr>
        <w:t>The department consists of the director, the lottery division, and other such divisions as the director may from time to time establish, abolish, or consolidate.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The office of the director. </w:t>
      </w:r>
      <w:r>
        <w:rPr>
          <w:rFonts w:ascii="Times New Roman" w:hAnsi="Times New Roman"/>
          <w:b w:val="false"/>
          <w:i w:val="false"/>
          <w:color w:val="000000"/>
          <w:sz w:val="22"/>
        </w:rPr>
        <w:t>The essential functions of the office of the director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Overall management of the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of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Strategic planning and coordination of the future operations and goals of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of financial checks and balances within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Facilitation of a working relationship between the public sector and the private sector.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Divisions. </w:t>
      </w:r>
      <w:r>
        <w:rPr>
          <w:rFonts w:ascii="Times New Roman" w:hAnsi="Times New Roman"/>
          <w:b w:val="false"/>
          <w:i w:val="false"/>
          <w:color w:val="000000"/>
          <w:sz w:val="22"/>
        </w:rPr>
        <w:t>For ease of administration, the director has organized the department into divisions and, in some instances, has organized those divisions into bureaus, sections, subsections, and units. Except for the lottery division, the director may from time to time establish, abolish, or consolidate the department’s administrative divisions as the director deems necessary in order to more efficiently and effectively carry out the department’s responsibilities. Such divisions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Alcohol and tax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Alcohol and tax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Legal services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government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Lottery.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Research and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Designee. </w:t>
      </w:r>
      <w:r>
        <w:rPr>
          <w:rFonts w:ascii="Times New Roman" w:hAnsi="Times New Roman"/>
          <w:b w:val="false"/>
          <w:i w:val="false"/>
          <w:color w:val="000000"/>
          <w:sz w:val="22"/>
        </w:rPr>
        <w:t>Unless otherwise delegated in statute, in rule, or otherwise in writing by the director, only the director, deputy director, or chief legal officer may enter into contracts or agreements on behalf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color w:val="000000"/>
          <w:sz w:val="22"/>
        </w:rPr>
        <w:t xml:space="preserve">Organization of the alcoholic beverages commission. </w:t>
      </w:r>
      <w:r>
        <w:rPr>
          <w:rFonts w:ascii="Times New Roman" w:hAnsi="Times New Roman"/>
          <w:b w:val="false"/>
          <w:i w:val="false"/>
          <w:color w:val="000000"/>
          <w:sz w:val="22"/>
        </w:rPr>
        <w:t xml:space="preserve">The alcoholic beverages commission consists of five commission members appointed by the governor and confirmed by the senate.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color w:val="000000"/>
          <w:sz w:val="22"/>
        </w:rPr>
        <w:t xml:space="preserve">Organization of the lottery commission. </w:t>
      </w:r>
      <w:r>
        <w:rPr>
          <w:rFonts w:ascii="Times New Roman" w:hAnsi="Times New Roman"/>
          <w:b w:val="false"/>
          <w:i w:val="false"/>
          <w:color w:val="000000"/>
          <w:sz w:val="22"/>
        </w:rPr>
        <w:t xml:space="preserve">The lottery commission consists of five members appointed by the governor and confirmed by the senate.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99G.5</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99G.8</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123.5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123.6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123.9</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421.2</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421.9</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422.1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8944C</w:t>
      </w:r>
      <w:r>
        <w:rPr>
          <w:rFonts w:ascii="Times New Roman" w:hAnsi="Times New Roman"/>
          <w:b w:val="false"/>
          <w:i w:val="false"/>
          <w:color w:val="000000"/>
          <w:sz w:val="21"/>
        </w:rPr>
        <w:t xml:space="preserve"> (Notice ARC 8355C,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E.5.pdf" Type="http://schemas.openxmlformats.org/officeDocument/2006/relationships/hyperlink" Id="rId5"/>
    <Relationship TargetMode="External" Target="https://www.legis.iowa.gov/docs/ico/chapter/421.2.pdf" Type="http://schemas.openxmlformats.org/officeDocument/2006/relationships/hyperlink" Id="rId6"/>
    <Relationship TargetMode="External" Target="http://revenue.iowa.gov" Type="http://schemas.openxmlformats.org/officeDocument/2006/relationships/hyperlink" Id="rId7"/>
    <Relationship TargetMode="External" Target="http://www.ialottery.com"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99G.5.pdf" Type="http://schemas.openxmlformats.org/officeDocument/2006/relationships/hyperlink" Id="rId10"/>
    <Relationship TargetMode="External" Target="https://www.legis.iowa.gov/docs/ico/chapter/99G.8.pdf" Type="http://schemas.openxmlformats.org/officeDocument/2006/relationships/hyperlink" Id="rId11"/>
    <Relationship TargetMode="External" Target="https://www.legis.iowa.gov/docs/ico/chapter/123.5.pdf" Type="http://schemas.openxmlformats.org/officeDocument/2006/relationships/hyperlink" Id="rId12"/>
    <Relationship TargetMode="External" Target="https://www.legis.iowa.gov/docs/ico/chapter/123.6.pdf" Type="http://schemas.openxmlformats.org/officeDocument/2006/relationships/hyperlink" Id="rId13"/>
    <Relationship TargetMode="External" Target="https://www.legis.iowa.gov/docs/ico/chapter/123.9.pdf" Type="http://schemas.openxmlformats.org/officeDocument/2006/relationships/hyperlink" Id="rId14"/>
    <Relationship TargetMode="External" Target="https://www.legis.iowa.gov/docs/ico/chapter/123.10.pdf" Type="http://schemas.openxmlformats.org/officeDocument/2006/relationships/hyperlink" Id="rId15"/>
    <Relationship TargetMode="External" Target="https://www.legis.iowa.gov/docs/ico/chapter/421.2.pdf" Type="http://schemas.openxmlformats.org/officeDocument/2006/relationships/hyperlink" Id="rId16"/>
    <Relationship TargetMode="External" Target="https://www.legis.iowa.gov/docs/ico/chapter/421.9.pdf" Type="http://schemas.openxmlformats.org/officeDocument/2006/relationships/hyperlink" Id="rId17"/>
    <Relationship TargetMode="External" Target="https://www.legis.iowa.gov/docs/ico/chapter/421.14.pdf" Type="http://schemas.openxmlformats.org/officeDocument/2006/relationships/hyperlink" Id="rId18"/>
    <Relationship TargetMode="External" Target="https://www.legis.iowa.gov/docs/ico/chapter/421.17.pdf" Type="http://schemas.openxmlformats.org/officeDocument/2006/relationships/hyperlink" Id="rId19"/>
    <Relationship TargetMode="External" Target="https://www.legis.iowa.gov/docs/ico/chapter/422.1.pdf" Type="http://schemas.openxmlformats.org/officeDocument/2006/relationships/hyperlink" Id="rId20"/>
    <Relationship TargetMode="External" Target="https://www.legis.iowa.gov/docs/ico/chapter/422.72.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