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XI</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ALCOHOLIC BEVERAGES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1000</w:t>
      </w:r>
    </w:p>
    <w:p>
      <w:pPr>
        <w:spacing w:before="0" w:after="0"/>
        <w:ind w:left="120"/>
        <w:jc w:val="center"/>
      </w:pPr>
      <w:r>
        <w:rPr>
          <w:rFonts w:ascii="Times New Roman" w:hAnsi="Times New Roman"/>
          <w:b w:val="false"/>
          <w:i w:val="false"/>
          <w:color w:val="000000"/>
          <w:sz w:val="21"/>
        </w:rPr>
        <w:t>GENERAL REQUIREMENTS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5/7/30</w:t>
      </w:r>
    </w:p>
    <w:p>
      <w:pPr>
        <w:spacing w:before="0" w:after="0"/>
        <w:ind w:left="120"/>
        <w:jc w:val="both"/>
      </w:pPr>
      <w:r>
        <w:rPr>
          <w:rFonts w:ascii="Times New Roman" w:hAnsi="Times New Roman"/>
          <w:b/>
          <w:i w:val="false"/>
          <w:color w:val="000000"/>
          <w:sz w:val="22"/>
        </w:rPr>
        <w:t>701—1000.1</w:t>
      </w:r>
      <w:r>
        <w:rPr>
          <w:rFonts w:ascii="Times New Roman" w:hAnsi="Times New Roman"/>
          <w:b/>
          <w:i w:val="false"/>
          <w:color w:val="000000"/>
          <w:sz w:val="22"/>
        </w:rPr>
        <w:t xml:space="preserve">(123)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revenue or the director’s designee.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w:t>
      </w:r>
      <w:r>
        <w:rPr>
          <w:rFonts w:ascii="Times New Roman" w:hAnsi="Times New Roman"/>
          <w:b/>
          <w:i w:val="false"/>
          <w:color w:val="000000"/>
          <w:sz w:val="22"/>
        </w:rPr>
        <w:t xml:space="preserve">(123) </w:t>
      </w:r>
      <w:r>
        <w:rPr>
          <w:rFonts w:ascii="Times New Roman" w:hAnsi="Times New Roman"/>
          <w:b/>
          <w:i w:val="false"/>
          <w:color w:val="000000"/>
          <w:sz w:val="22"/>
        </w:rPr>
        <w:t xml:space="preserve">Requirements. </w:t>
      </w:r>
      <w:r>
        <w:rPr>
          <w:rFonts w:ascii="Times New Roman" w:hAnsi="Times New Roman"/>
          <w:b w:val="false"/>
          <w:i w:val="false"/>
          <w:color w:val="000000"/>
          <w:sz w:val="22"/>
        </w:rPr>
        <w:t>All applicants for licenses, permits, or certificates of compliance are subject to the following requirements, where applicable, prior to receiving a new or renewed license, permit, or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w:t>
      </w:r>
      <w:r>
        <w:rPr>
          <w:rFonts w:ascii="Times New Roman" w:hAnsi="Times New Roman"/>
          <w:b w:val="false"/>
          <w:i w:val="false"/>
          <w:color w:val="000000"/>
          <w:sz w:val="22"/>
        </w:rPr>
        <w:t> </w:t>
      </w:r>
      <w:r>
        <w:rPr>
          <w:rFonts w:ascii="Times New Roman" w:hAnsi="Times New Roman"/>
          <w:b w:val="false"/>
          <w:i/>
          <w:color w:val="000000"/>
          <w:sz w:val="22"/>
        </w:rPr>
        <w:t xml:space="preserve">Cleanliness of premises. </w:t>
      </w:r>
      <w:r>
        <w:rPr>
          <w:rFonts w:ascii="Times New Roman" w:hAnsi="Times New Roman"/>
          <w:b w:val="false"/>
          <w:i w:val="false"/>
          <w:color w:val="000000"/>
          <w:sz w:val="22"/>
        </w:rPr>
        <w:t>The interior and exterior of the licensed premises shall be kept clean, free of litter or rubbish, painted and in good repair. Licensees and permittees shall at all times keep and maintain their respective premises in compliance with all laws, orders, rules, and ordinances of the state, county, and local authority, including but not limited to the applicable health and fire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w:t>
      </w:r>
      <w:r>
        <w:rPr>
          <w:rFonts w:ascii="Times New Roman" w:hAnsi="Times New Roman"/>
          <w:b w:val="false"/>
          <w:i w:val="false"/>
          <w:color w:val="000000"/>
          <w:sz w:val="22"/>
        </w:rPr>
        <w:t> </w:t>
      </w:r>
      <w:r>
        <w:rPr>
          <w:rFonts w:ascii="Times New Roman" w:hAnsi="Times New Roman"/>
          <w:b w:val="false"/>
          <w:i/>
          <w:color w:val="000000"/>
          <w:sz w:val="22"/>
        </w:rPr>
        <w:t xml:space="preserve">Toilet facilities. </w:t>
      </w:r>
      <w:r>
        <w:rPr>
          <w:rFonts w:ascii="Times New Roman" w:hAnsi="Times New Roman"/>
          <w:b w:val="false"/>
          <w:i w:val="false"/>
          <w:color w:val="000000"/>
          <w:sz w:val="22"/>
        </w:rPr>
        <w:t>All licensees who mix, serve, or sell alcoholic beverages for consumption on the licensed premises shall provide for their patrons adequate, conveniently located indoor or outdoor toilet facilities. Compliance with county; city; and department of inspections, appeals, and licensing rules and regulations regarding toilet facilities, including any waivers granted by those authorities, shall constitute compliance with this rule. Outdoor toilet facilities shall be approved by the department of inspections, appeals, and licensing and the local authority where the licensed premises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1000.2(3)</w:t>
      </w:r>
      <w:r>
        <w:rPr>
          <w:rFonts w:ascii="Times New Roman" w:hAnsi="Times New Roman"/>
          <w:b w:val="false"/>
          <w:i w:val="false"/>
          <w:color w:val="000000"/>
          <w:sz w:val="22"/>
        </w:rPr>
        <w:t> </w:t>
      </w:r>
      <w:r>
        <w:rPr>
          <w:rFonts w:ascii="Times New Roman" w:hAnsi="Times New Roman"/>
          <w:b w:val="false"/>
          <w:i/>
          <w:color w:val="000000"/>
          <w:sz w:val="22"/>
        </w:rPr>
        <w:t xml:space="preserve">Water. </w:t>
      </w:r>
      <w:r>
        <w:rPr>
          <w:rFonts w:ascii="Times New Roman" w:hAnsi="Times New Roman"/>
          <w:b w:val="false"/>
          <w:i w:val="false"/>
          <w:color w:val="000000"/>
          <w:sz w:val="22"/>
        </w:rPr>
        <w:t>All licensed premises shall be equipped with hot and cold running water from a source approved by an authorized health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1000.2(4)</w:t>
      </w:r>
      <w:r>
        <w:rPr>
          <w:rFonts w:ascii="Times New Roman" w:hAnsi="Times New Roman"/>
          <w:b w:val="false"/>
          <w:i w:val="false"/>
          <w:color w:val="000000"/>
          <w:sz w:val="22"/>
        </w:rPr>
        <w:t> </w:t>
      </w:r>
      <w:r>
        <w:rPr>
          <w:rFonts w:ascii="Times New Roman" w:hAnsi="Times New Roman"/>
          <w:b w:val="false"/>
          <w:i/>
          <w:color w:val="000000"/>
          <w:sz w:val="22"/>
        </w:rPr>
        <w:t xml:space="preserve">Financial standing and reputation. </w:t>
      </w:r>
      <w:r>
        <w:rPr>
          <w:rFonts w:ascii="Times New Roman" w:hAnsi="Times New Roman"/>
          <w:b w:val="false"/>
          <w:i w:val="false"/>
          <w:color w:val="000000"/>
          <w:sz w:val="22"/>
        </w:rPr>
        <w:t>A local authority or the director may consider an applicant’s financial standing and good reputation in addition to the other requirements and conditions for obtaining a license, permit, or certificate of compliance. An application for a license, permit, or certificate of compliance is subject to denial by the director or local authority if the applicant fails to demonstrate that the applicant complies with the lawful requirements and conditions for holding the license, permit, or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evaluating an applicant’s “financial standing,” the local authority or the director may consider such factors as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Verified source(s) of financial support and adequate operating capital for the applicant’s proposed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 of timely submission of all required federal, state, or local tax returns or forms and prompt payment of all taxes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prompt payment to the local authority of fees or charges made by a local authority for municipal utilities or other municipal services incurred in conjunction with the proposed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record of prompt payment or satisfaction of administrative penalties imposed pursuant to Iowa Code chapter </w:t>
      </w:r>
      <w:hyperlink r:id="rId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record of maintaining, and providing prompt payment for, dramshop liability insurance coverage as required pursuant to Iowa Code chapter </w:t>
      </w:r>
      <w:hyperlink r:id="rId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record of prompt payment for license, permit, or certificate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record of prompt payment for alcoholic liquor orders placed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evaluating an applicant’s “good reputation,” the local authority or the director may consider such factors as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or practice of sales of alcoholic beverages to persons under the legal age for which the licensee, or the licensee’s agents or employees, have pled or have been found guilty.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pattern or practice by the licensee or permittee, or the licensee’s or permittee’s agents or employees, of violating alcoholic beverages laws and regulations for which corrective action has been taken since the previous license or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Sales to intoxicated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Licensee or permittee convictions for violations of laws relating to operating a motor vehicle while under the influence of drugs or alcohol and the recency of such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Licensee or permittee misdemeanor convictions and the recency of such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pattern or practice by the licensee or permittee, or the licensee’s or permittee’s agents or employees, of failing to cooperate with the department of public safety, the department, the county attorney, the county sheriff and sheriff’s deputies, the city police department, or the city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pattern or practice by the licensee of violating local ordinances established by the local authority pursuant to Iowa Code section </w:t>
      </w:r>
      <w:hyperlink r:id="rId9">
        <w:r>
          <w:rPr>
            <w:rStyle w:val="Hyperlink"/>
            <w:rFonts w:ascii="Times New Roman" w:hAnsi="Times New Roman"/>
            <w:b w:val="false"/>
            <w:i w:val="false"/>
            <w:color w:val="000000"/>
            <w:sz w:val="22"/>
          </w:rPr>
          <w:t>123.39(2)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pattern or practice by the licensee of failing to report any change in the ownership or interest of the business pursuant to Iowa Code section </w:t>
      </w:r>
      <w:hyperlink r:id="rId10">
        <w:r>
          <w:rPr>
            <w:rStyle w:val="Hyperlink"/>
            <w:rFonts w:ascii="Times New Roman" w:hAnsi="Times New Roman"/>
            <w:b w:val="false"/>
            <w:i w:val="false"/>
            <w:color w:val="000000"/>
            <w:sz w:val="22"/>
          </w:rPr>
          <w:t>123.39(1)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other reasons specified by statute or rule, the department may refuse to issue a license or permit or may revoke, suspend, or not renew any license or permit for which it has jurisdiction if the centralized collection unit of the department has issued a certificate of noncompliance pursuant to the procedures set forth in Iowa Code chapter </w:t>
      </w:r>
      <w:hyperlink r:id="rId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123.3(40)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123.10(11)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272D.8(2)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701—1000.3</w:t>
      </w:r>
      <w:r>
        <w:rPr>
          <w:rFonts w:ascii="Times New Roman" w:hAnsi="Times New Roman"/>
          <w:b/>
          <w:i w:val="false"/>
          <w:color w:val="000000"/>
          <w:sz w:val="22"/>
        </w:rPr>
        <w:t xml:space="preserve">(123) </w:t>
      </w:r>
      <w:r>
        <w:rPr>
          <w:rFonts w:ascii="Times New Roman" w:hAnsi="Times New Roman"/>
          <w:b/>
          <w:i w:val="false"/>
          <w:color w:val="000000"/>
          <w:sz w:val="22"/>
        </w:rPr>
        <w:t xml:space="preserve">Display of license, permit, or placards. </w:t>
      </w:r>
      <w:r>
        <w:rPr>
          <w:rFonts w:ascii="Times New Roman" w:hAnsi="Times New Roman"/>
          <w:b w:val="false"/>
          <w:i w:val="false"/>
          <w:color w:val="000000"/>
          <w:sz w:val="22"/>
        </w:rPr>
        <w:t>All licenses, permits, or placards issued by the department must be prominently displayed in full view on the licensed premises.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701—1000.4</w:t>
      </w:r>
      <w:r>
        <w:rPr>
          <w:rFonts w:ascii="Times New Roman" w:hAnsi="Times New Roman"/>
          <w:b/>
          <w:i w:val="false"/>
          <w:color w:val="000000"/>
          <w:sz w:val="22"/>
        </w:rPr>
        <w:t xml:space="preserve">(123) </w:t>
      </w:r>
      <w:r>
        <w:rPr>
          <w:rFonts w:ascii="Times New Roman" w:hAnsi="Times New Roman"/>
          <w:b/>
          <w:i w:val="false"/>
          <w:color w:val="000000"/>
          <w:sz w:val="22"/>
        </w:rPr>
        <w:t xml:space="preserve">Determination of population. </w:t>
      </w:r>
      <w:r>
        <w:rPr>
          <w:rFonts w:ascii="Times New Roman" w:hAnsi="Times New Roman"/>
          <w:b w:val="false"/>
          <w:i w:val="false"/>
          <w:color w:val="000000"/>
          <w:sz w:val="22"/>
        </w:rPr>
        <w:t>Decennial censuses and special censuses done by the U.S. Census Bureau are recognized as being the official population of a town for the purpose of deciding the price of licenses in that town, but estimates done by the U.S. Census Bureau cannot be viewed as being the official population when deciding the price of licenses.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123.10(11)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701—1000.5</w:t>
      </w:r>
      <w:r>
        <w:rPr>
          <w:rFonts w:ascii="Times New Roman" w:hAnsi="Times New Roman"/>
          <w:b/>
          <w:i w:val="false"/>
          <w:color w:val="000000"/>
          <w:sz w:val="22"/>
        </w:rPr>
        <w:t xml:space="preserve">(123) </w:t>
      </w:r>
      <w:r>
        <w:rPr>
          <w:rFonts w:ascii="Times New Roman" w:hAnsi="Times New Roman"/>
          <w:b/>
          <w:i w:val="false"/>
          <w:color w:val="000000"/>
          <w:sz w:val="22"/>
        </w:rPr>
        <w:t xml:space="preserve">Local ordinances permitted. </w:t>
      </w:r>
      <w:r>
        <w:rPr>
          <w:rFonts w:ascii="Times New Roman" w:hAnsi="Times New Roman"/>
          <w:b w:val="false"/>
          <w:i w:val="false"/>
          <w:color w:val="000000"/>
          <w:sz w:val="22"/>
        </w:rPr>
        <w:t>The foregoing rules shall in no way be construed as to prevent any county, city or town from adopting more restrictive ordinances or regulations governing licensed establishments within their jurisdiction.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701—1000.6</w:t>
      </w:r>
      <w:r>
        <w:rPr>
          <w:rFonts w:ascii="Times New Roman" w:hAnsi="Times New Roman"/>
          <w:b/>
          <w:i w:val="false"/>
          <w:color w:val="000000"/>
          <w:sz w:val="22"/>
        </w:rPr>
        <w:t xml:space="preserve">(123) </w:t>
      </w:r>
      <w:r>
        <w:rPr>
          <w:rFonts w:ascii="Times New Roman" w:hAnsi="Times New Roman"/>
          <w:b/>
          <w:i w:val="false"/>
          <w:color w:val="000000"/>
          <w:sz w:val="22"/>
        </w:rPr>
        <w:t xml:space="preserve">Licensed premises.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1000.6(1)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 xml:space="preserve">The following criteria must be met before a “place” (as used in Iowa Code section </w:t>
      </w:r>
      <w:hyperlink r:id="rId19">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may be licensed as a “place susceptible of precise description satisfactory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 must be owned by or under the control of the prospective licensee or permittee for the entire duration of the applied-for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place must be solely within the jurisdiction of one local approving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place must be described by a sketch of the “premises” as defined in Iowa Code section </w:t>
      </w:r>
      <w:hyperlink r:id="rId20">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xml:space="preserve"> and showing the boundaries of the proposed place; showing the locations of selling/serving areas within the confines of the place; showing all entrances and exits; and indicating the measurements of the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place must satisfy the health, safety, fire and seating requirements of the department, local authorities,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criteria as required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“Separate premises”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clearly defined area bounded on all sides and connecting angles by permanent, solid walls or windows extending from the floor to the ceiling, with entrances and exits that can be closed.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entrances and exits shall not adjoin or provide direct access to an establishment licensed under this chapter for the sale of alcoholic beverages for consumption on the premises.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This term describes how holders of other retail alcohol licenses may establish a class “E” retail alcohol licensed establishment at the same physical address as their other licensed establishment.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separate premises must operate independently from other licensed premises, including but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Maintaining a separate inventory;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a separate cash register;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Keeping separate books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“Square footage of the licensed premises” </w:t>
      </w:r>
      <w:r>
        <w:rPr>
          <w:rFonts w:ascii="Times New Roman" w:hAnsi="Times New Roman"/>
          <w:b w:val="false"/>
          <w:i w:val="false"/>
          <w:color w:val="000000"/>
          <w:sz w:val="22"/>
        </w:rPr>
        <w:t>means the total interior floor area of the establishment, measured in square feet. This includes all spaces within the establishment used or to be used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Storage of alcoholic beverages;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Distribution of alcoholic beverages;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Warehousing of alcoholic beverages;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Display of alcoholic beverage products;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Wholesale operations;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Retail sales area;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other spaces used in the operation of the licensed business.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701—1000.7</w:t>
      </w:r>
      <w:r>
        <w:rPr>
          <w:rFonts w:ascii="Times New Roman" w:hAnsi="Times New Roman"/>
          <w:b/>
          <w:i w:val="false"/>
          <w:color w:val="000000"/>
          <w:sz w:val="22"/>
        </w:rPr>
        <w:t xml:space="preserve">(123) </w:t>
      </w:r>
      <w:r>
        <w:rPr>
          <w:rFonts w:ascii="Times New Roman" w:hAnsi="Times New Roman"/>
          <w:b/>
          <w:i w:val="false"/>
          <w:color w:val="000000"/>
          <w:sz w:val="22"/>
        </w:rPr>
        <w:t xml:space="preserve">Outdoor service. </w:t>
      </w:r>
      <w:r>
        <w:rPr>
          <w:rFonts w:ascii="Times New Roman" w:hAnsi="Times New Roman"/>
          <w:b w:val="false"/>
          <w:i w:val="false"/>
          <w:color w:val="000000"/>
          <w:sz w:val="22"/>
        </w:rPr>
        <w:t xml:space="preserve">Any on-premises retail alcohol licensee with a discernible, contiguous, outdoor area on the same property may apply for an outdoor service privilege. An outdoor service privilege allows an on-premises licensee to sell or serve the type of alcoholic beverage permitted by the license in an outdoor area. The privilege is an extension of a licensed premises outlined under rule </w:t>
      </w:r>
      <w:hyperlink r:id="rId24">
        <w:r>
          <w:rPr>
            <w:rStyle w:val="Hyperlink"/>
            <w:rFonts w:ascii="Times New Roman" w:hAnsi="Times New Roman"/>
            <w:b w:val="false"/>
            <w:i w:val="false"/>
            <w:color w:val="000000"/>
            <w:sz w:val="22"/>
          </w:rPr>
          <w:t>701—1000.6</w:t>
        </w:r>
      </w:hyperlink>
      <w:r>
        <w:rPr>
          <w:rFonts w:ascii="Times New Roman" w:hAnsi="Times New Roman"/>
          <w:b w:val="false"/>
          <w:i w:val="false"/>
          <w:color w:val="000000"/>
          <w:sz w:val="22"/>
        </w:rPr>
        <w:t>(123). The department may grant an outdoor service privilege once the licensee provides: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new sketch showing the discernible outdoor area, including a contiguous entrance.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Local authority approval of the outdoor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Insurance company acknowledgment that the outdoor area is covered by the dramshop insurance policy.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other information deemed necessary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123.38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701—1000.8</w:t>
      </w:r>
      <w:r>
        <w:rPr>
          <w:rFonts w:ascii="Times New Roman" w:hAnsi="Times New Roman"/>
          <w:b/>
          <w:i w:val="false"/>
          <w:color w:val="000000"/>
          <w:sz w:val="22"/>
        </w:rPr>
        <w:t xml:space="preserve">(123) </w:t>
      </w:r>
      <w:r>
        <w:rPr>
          <w:rFonts w:ascii="Times New Roman" w:hAnsi="Times New Roman"/>
          <w:b/>
          <w:i w:val="false"/>
          <w:color w:val="000000"/>
          <w:sz w:val="22"/>
        </w:rPr>
        <w:t xml:space="preserve">Transfer of license or permit to another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1000.8(1)</w:t>
      </w:r>
      <w:r>
        <w:rPr>
          <w:rFonts w:ascii="Times New Roman" w:hAnsi="Times New Roman"/>
          <w:b w:val="false"/>
          <w:i w:val="false"/>
          <w:color w:val="000000"/>
          <w:sz w:val="22"/>
        </w:rPr>
        <w:t> </w:t>
      </w:r>
      <w:r>
        <w:rPr>
          <w:rFonts w:ascii="Times New Roman" w:hAnsi="Times New Roman"/>
          <w:b w:val="false"/>
          <w:i/>
          <w:color w:val="000000"/>
          <w:sz w:val="22"/>
        </w:rPr>
        <w:t xml:space="preserve">Transfer conditions. </w:t>
      </w:r>
      <w:r>
        <w:rPr>
          <w:rFonts w:ascii="Times New Roman" w:hAnsi="Times New Roman"/>
          <w:b w:val="false"/>
          <w:i w:val="false"/>
          <w:color w:val="000000"/>
          <w:sz w:val="22"/>
        </w:rPr>
        <w:t>A retail alcohol license, wine permit, or beer permit may be transferred within the jurisdiction of the local authority that approved the license or permit. A licensee or permittee is only allowed to sell or serve alcoholic beverages at the transferred license or permit location once approved by the department. Sales and service at the original location must stop during the time of the license/permit transfer. Seasonal, 14-day, and 5-day retail alcohol licenses cannot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1000.8(2)</w:t>
      </w:r>
      <w:r>
        <w:rPr>
          <w:rFonts w:ascii="Times New Roman" w:hAnsi="Times New Roman"/>
          <w:b w:val="false"/>
          <w:i w:val="false"/>
          <w:color w:val="000000"/>
          <w:sz w:val="22"/>
        </w:rPr>
        <w:t> </w:t>
      </w:r>
      <w:r>
        <w:rPr>
          <w:rFonts w:ascii="Times New Roman" w:hAnsi="Times New Roman"/>
          <w:b w:val="false"/>
          <w:i/>
          <w:color w:val="000000"/>
          <w:sz w:val="22"/>
        </w:rPr>
        <w:t xml:space="preserve">Transfer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or permittee may apply for a permanent or temporary transfer by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sketch showing the premises to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Proof of control by the licensee of the premises to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must be approved by the local authority and the department prior to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insurance company holding the dramshop policy listing the new address must endorse the application prior to the transfer,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permanent transfer is approved, the department will issue an amended license or permit showing the new permanent address. If a temporary transfer is approved, the department will issue a letter of authorization to the local authority and licensee or permittee showing the new temporary address.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123.38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701—1000.9</w:t>
      </w:r>
      <w:r>
        <w:rPr>
          <w:rFonts w:ascii="Times New Roman" w:hAnsi="Times New Roman"/>
          <w:b/>
          <w:i w:val="false"/>
          <w:color w:val="000000"/>
          <w:sz w:val="22"/>
        </w:rPr>
        <w:t xml:space="preserve">(123) </w:t>
      </w:r>
      <w:r>
        <w:rPr>
          <w:rFonts w:ascii="Times New Roman" w:hAnsi="Times New Roman"/>
          <w:b/>
          <w:i w:val="false"/>
          <w:color w:val="000000"/>
          <w:sz w:val="22"/>
        </w:rPr>
        <w:t xml:space="preserve">Age requirements. </w:t>
      </w:r>
      <w:r>
        <w:rPr>
          <w:rFonts w:ascii="Times New Roman" w:hAnsi="Times New Roman"/>
          <w:b w:val="false"/>
          <w:i w:val="false"/>
          <w:color w:val="000000"/>
          <w:sz w:val="22"/>
        </w:rPr>
        <w:t>Persons 21 years of age or older may hold a retail alcohol license, wine permit, or beer permit. Persons 16 years of age and older may sell alcoholic beverages in off-premises establishments.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701—1000.10</w:t>
      </w:r>
      <w:r>
        <w:rPr>
          <w:rFonts w:ascii="Times New Roman" w:hAnsi="Times New Roman"/>
          <w:b/>
          <w:i w:val="false"/>
          <w:color w:val="000000"/>
          <w:sz w:val="22"/>
        </w:rPr>
        <w:t xml:space="preserve">(123) </w:t>
      </w:r>
      <w:r>
        <w:rPr>
          <w:rFonts w:ascii="Times New Roman" w:hAnsi="Times New Roman"/>
          <w:b/>
          <w:i w:val="false"/>
          <w:color w:val="000000"/>
          <w:sz w:val="22"/>
        </w:rPr>
        <w:t xml:space="preserve">Persons under the legal age in licensed establishments. </w:t>
      </w:r>
      <w:r>
        <w:rPr>
          <w:rFonts w:ascii="Times New Roman" w:hAnsi="Times New Roman"/>
          <w:b w:val="false"/>
          <w:i w:val="false"/>
          <w:color w:val="000000"/>
          <w:sz w:val="22"/>
        </w:rPr>
        <w:t>A person under 21 years of age may be in a licensed establishment if the local authority does not have a local ordinance prohibiting said persons from being in licensed establishments in its jurisdiction.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123.3(28)</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123.10(5)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701—1000.11</w:t>
      </w:r>
      <w:r>
        <w:rPr>
          <w:rFonts w:ascii="Times New Roman" w:hAnsi="Times New Roman"/>
          <w:b/>
          <w:i w:val="false"/>
          <w:color w:val="000000"/>
          <w:sz w:val="22"/>
        </w:rPr>
        <w:t xml:space="preserve">(123) </w:t>
      </w:r>
      <w:r>
        <w:rPr>
          <w:rFonts w:ascii="Times New Roman" w:hAnsi="Times New Roman"/>
          <w:b/>
          <w:i w:val="false"/>
          <w:color w:val="000000"/>
          <w:sz w:val="22"/>
        </w:rPr>
        <w:t xml:space="preserve">Use of establishment during hours alcoholic beverages cannot be consumed. </w:t>
      </w:r>
      <w:r>
        <w:rPr>
          <w:rFonts w:ascii="Times New Roman" w:hAnsi="Times New Roman"/>
          <w:b w:val="false"/>
          <w:i w:val="false"/>
          <w:color w:val="000000"/>
          <w:sz w:val="22"/>
        </w:rPr>
        <w:t>A retail alcohol licensed establishment may be used as a restaurant or for any other lawful purpose during the hours in which alcoholic beverages are not allowed to be sold, dispensed, or consumed.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701—1000.12</w:t>
      </w:r>
      <w:r>
        <w:rPr>
          <w:rFonts w:ascii="Times New Roman" w:hAnsi="Times New Roman"/>
          <w:b/>
          <w:i w:val="false"/>
          <w:color w:val="000000"/>
          <w:sz w:val="22"/>
        </w:rPr>
        <w:t xml:space="preserve">(123) </w:t>
      </w:r>
      <w:r>
        <w:rPr>
          <w:rFonts w:ascii="Times New Roman" w:hAnsi="Times New Roman"/>
          <w:b/>
          <w:i w:val="false"/>
          <w:color w:val="000000"/>
          <w:sz w:val="22"/>
        </w:rPr>
        <w:t xml:space="preserve">Improper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1000.12(1)</w:t>
      </w:r>
      <w:r>
        <w:rPr>
          <w:rFonts w:ascii="Times New Roman" w:hAnsi="Times New Roman"/>
          <w:b w:val="false"/>
          <w:i w:val="false"/>
          <w:color w:val="000000"/>
          <w:sz w:val="22"/>
        </w:rPr>
        <w:t> </w:t>
      </w:r>
      <w:r>
        <w:rPr>
          <w:rFonts w:ascii="Times New Roman" w:hAnsi="Times New Roman"/>
          <w:b w:val="false"/>
          <w:i/>
          <w:color w:val="000000"/>
          <w:sz w:val="22"/>
        </w:rPr>
        <w:t xml:space="preserve">Illegality on premises. </w:t>
      </w:r>
      <w:r>
        <w:rPr>
          <w:rFonts w:ascii="Times New Roman" w:hAnsi="Times New Roman"/>
          <w:b w:val="false"/>
          <w:i w:val="false"/>
          <w:color w:val="000000"/>
          <w:sz w:val="22"/>
        </w:rPr>
        <w:t>A retail alcohol licensee, or the licensee’s agent or employee, must not engage in or knowingly allow any illegal occupation or illegal act on the licensed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1000.12(2)</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law enforcement officers. </w:t>
      </w:r>
      <w:r>
        <w:rPr>
          <w:rFonts w:ascii="Times New Roman" w:hAnsi="Times New Roman"/>
          <w:b w:val="false"/>
          <w:i w:val="false"/>
          <w:color w:val="000000"/>
          <w:sz w:val="22"/>
        </w:rPr>
        <w:t>A retail alcohol licensee, or the licensee’s agent or employee, must not refuse, fail, or neglect to cooperate with any law enforcement officer in the performance of such officer’s duties to enforce the provisions of the alcoholic beverage control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1000.12(3)</w:t>
      </w:r>
      <w:r>
        <w:rPr>
          <w:rFonts w:ascii="Times New Roman" w:hAnsi="Times New Roman"/>
          <w:b w:val="false"/>
          <w:i w:val="false"/>
          <w:color w:val="000000"/>
          <w:sz w:val="22"/>
        </w:rPr>
        <w:t> </w:t>
      </w:r>
      <w:r>
        <w:rPr>
          <w:rFonts w:ascii="Times New Roman" w:hAnsi="Times New Roman"/>
          <w:b w:val="false"/>
          <w:i/>
          <w:color w:val="000000"/>
          <w:sz w:val="22"/>
        </w:rPr>
        <w:t xml:space="preserve">Open containers of alcoholic liquor. </w:t>
      </w:r>
      <w:r>
        <w:rPr>
          <w:rFonts w:ascii="Times New Roman" w:hAnsi="Times New Roman"/>
          <w:b w:val="false"/>
          <w:i w:val="false"/>
          <w:color w:val="000000"/>
          <w:sz w:val="22"/>
        </w:rPr>
        <w:t xml:space="preserve">A class “C,” class “D,” class “E,” or class “F” retail alcohol licensee, or the licensee’s agent or employee, must not allow any open or unsealed containers of alcoholic liquor to be taken off the licensed premises, excluding mixed drinks or cocktails pursuant to Iowa Code section </w:t>
      </w:r>
      <w:hyperlink r:id="rId35">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1000.12(4)</w:t>
      </w:r>
      <w:r>
        <w:rPr>
          <w:rFonts w:ascii="Times New Roman" w:hAnsi="Times New Roman"/>
          <w:b w:val="false"/>
          <w:i w:val="false"/>
          <w:color w:val="000000"/>
          <w:sz w:val="22"/>
        </w:rPr>
        <w:t> </w:t>
      </w:r>
      <w:r>
        <w:rPr>
          <w:rFonts w:ascii="Times New Roman" w:hAnsi="Times New Roman"/>
          <w:b w:val="false"/>
          <w:i/>
          <w:color w:val="000000"/>
          <w:sz w:val="22"/>
        </w:rPr>
        <w:t xml:space="preserve">Identifying markers. </w:t>
      </w:r>
      <w:r>
        <w:rPr>
          <w:rFonts w:ascii="Times New Roman" w:hAnsi="Times New Roman"/>
          <w:b w:val="false"/>
          <w:i w:val="false"/>
          <w:color w:val="000000"/>
          <w:sz w:val="22"/>
        </w:rPr>
        <w:t>A licensee shall not keep on the licensed premises nor use for resale alcoholic liquor that does not bear identifying markers as prescribed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123.49(2)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701—1000.13</w:t>
      </w:r>
      <w:r>
        <w:rPr>
          <w:rFonts w:ascii="Times New Roman" w:hAnsi="Times New Roman"/>
          <w:b/>
          <w:i w:val="false"/>
          <w:color w:val="000000"/>
          <w:sz w:val="22"/>
        </w:rPr>
        <w:t xml:space="preserve">(123) </w:t>
      </w:r>
      <w:r>
        <w:rPr>
          <w:rFonts w:ascii="Times New Roman" w:hAnsi="Times New Roman"/>
          <w:b/>
          <w:i w:val="false"/>
          <w:color w:val="000000"/>
          <w:sz w:val="22"/>
        </w:rPr>
        <w:t xml:space="preserve">Change of ownership of a licensed premises—new license or permit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1000.13(1)</w:t>
      </w:r>
      <w:r>
        <w:rPr>
          <w:rFonts w:ascii="Times New Roman" w:hAnsi="Times New Roman"/>
          <w:b w:val="false"/>
          <w:i w:val="false"/>
          <w:color w:val="000000"/>
          <w:sz w:val="22"/>
        </w:rPr>
        <w:t> </w:t>
      </w:r>
      <w:r>
        <w:rPr>
          <w:rFonts w:ascii="Times New Roman" w:hAnsi="Times New Roman"/>
          <w:b w:val="false"/>
          <w:i w:val="false"/>
          <w:color w:val="000000"/>
          <w:sz w:val="22"/>
        </w:rPr>
        <w:t>A new license or permit, a new bond, and a new dramshop policy, as applicable, need to be obtained whenever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business is sold or leased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licensee or permittee changes to another form of business, such as a sole proprietorship to a corporation, a corporation to a sole proprietorship, a sole proprietorship to a partnership, a partnership to a sole proprietorship, a partnership to a corporation, or a corporation to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partner leaves a partnership or when a new partner is added to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corporation name is changed due to a merger or is voluntarily changed by its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time an entity obtains a seasonal or 5- or 14-day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receiver takes over the operation of an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1000.13(2)</w:t>
      </w:r>
      <w:r>
        <w:rPr>
          <w:rFonts w:ascii="Times New Roman" w:hAnsi="Times New Roman"/>
          <w:b w:val="false"/>
          <w:i w:val="false"/>
          <w:color w:val="000000"/>
          <w:sz w:val="22"/>
        </w:rPr>
        <w:t> </w:t>
      </w:r>
      <w:r>
        <w:rPr>
          <w:rFonts w:ascii="Times New Roman" w:hAnsi="Times New Roman"/>
          <w:b w:val="false"/>
          <w:i w:val="false"/>
          <w:color w:val="000000"/>
          <w:sz w:val="22"/>
        </w:rPr>
        <w:t>A new license or permit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only the trade name of the business is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stock of a corporation holding a license or permit is sold. The new owner or owners and the amount of stock held by each need to be submitted to the department electronically or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name of a licensee or permittee is changed by marriage, divorce, or other legal proceeding. Proof of the legal name change needs to be submitted to the department electronically or in a manner prescribed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701—1000.14</w:t>
      </w:r>
      <w:r>
        <w:rPr>
          <w:rFonts w:ascii="Times New Roman" w:hAnsi="Times New Roman"/>
          <w:b/>
          <w:i w:val="false"/>
          <w:color w:val="000000"/>
          <w:sz w:val="22"/>
        </w:rPr>
        <w:t xml:space="preserve">(123) </w:t>
      </w:r>
      <w:r>
        <w:rPr>
          <w:rFonts w:ascii="Times New Roman" w:hAnsi="Times New Roman"/>
          <w:b/>
          <w:i w:val="false"/>
          <w:color w:val="000000"/>
          <w:sz w:val="22"/>
        </w:rPr>
        <w:t xml:space="preserve">Dramshop liability insurance requirements. </w:t>
      </w:r>
      <w:r>
        <w:rPr>
          <w:rFonts w:ascii="Times New Roman" w:hAnsi="Times New Roman"/>
          <w:b w:val="false"/>
          <w:i w:val="false"/>
          <w:color w:val="000000"/>
          <w:sz w:val="22"/>
        </w:rPr>
        <w:t xml:space="preserve">For the purpose of providing proof of financial responsibility, as required under the provisions of Iowa Code section </w:t>
      </w:r>
      <w:hyperlink r:id="rId41">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a dramshop liability insurance policy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Proof of coverage—current certificate required. </w:t>
      </w:r>
      <w:r>
        <w:rPr>
          <w:rFonts w:ascii="Times New Roman" w:hAnsi="Times New Roman"/>
          <w:b w:val="false"/>
          <w:i w:val="false"/>
          <w:color w:val="000000"/>
          <w:sz w:val="22"/>
        </w:rPr>
        <w:t>The dramshop liability certificate of insurance must be issued by a company holding a current certificate of authority from the Iowa insurance commissioner authorizing the company to issue dramshop liability insurance in Iowa. A new dramshop liability certificate of insurance must be provided in the manner designated by the director each time the department issues a license. The dramshop liability certificate of insurance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insurance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policy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policy effective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license number of the insured,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Dates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dramshop liability insurance coverage is required as a condition of the license under Iowa Code section </w:t>
      </w:r>
      <w:hyperlink r:id="rId42">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the applicant or licensee must have and maintain dramshop liability insurance that covers the entire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applicant or licensee has proof of a dramshop liability insurance policy that does not cover the entire license term, the applicant or licensee will be required to provide, prior to the policy’s expiration date, proof that the policy has been renewed and coverage will continue or proof that a new policy meeting the necessary requirements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attestation. </w:t>
      </w:r>
      <w:r>
        <w:rPr>
          <w:rFonts w:ascii="Times New Roman" w:hAnsi="Times New Roman"/>
          <w:b w:val="false"/>
          <w:i w:val="false"/>
          <w:color w:val="000000"/>
          <w:sz w:val="22"/>
        </w:rPr>
        <w:t xml:space="preserve">The applicant or licensee must agree as a condition of license issuance that the applicant has read and will abide by all of the dramshop liability insurance requirements set forth in Iowa Code chapter </w:t>
      </w:r>
      <w:hyperlink r:id="rId43">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this rule. The applicant or licensee understands that failure to adhere to these rules means the applicant no longer possesses the statutory requirement for licensure and the applicant’s license may be suspended or canceled. The burden is upon the applicant or licensee to ensure that the department has on file valid proof of dramshop liability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Electronic verification/endorsement by an authorized insurance representative. </w:t>
      </w:r>
      <w:r>
        <w:rPr>
          <w:rFonts w:ascii="Times New Roman" w:hAnsi="Times New Roman"/>
          <w:b w:val="false"/>
          <w:i w:val="false"/>
          <w:color w:val="000000"/>
          <w:sz w:val="22"/>
        </w:rPr>
        <w:t>An authorized representative of the insurance carrier providing dramshop liability insurance for the applicant or licensee must electronically register with the department. The insurer must electronically provide verification of coverage and notice of cancellation or expiration in accordance with the Iowa Code and this rule. Upon request, an insurance company or an insured applicant or licensee must provide a duplicate original of the policy and all pertinent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1000.14(2)</w:t>
      </w:r>
      <w:r>
        <w:rPr>
          <w:rFonts w:ascii="Times New Roman" w:hAnsi="Times New Roman"/>
          <w:b w:val="false"/>
          <w:i w:val="false"/>
          <w:color w:val="000000"/>
          <w:sz w:val="22"/>
        </w:rPr>
        <w:t> </w:t>
      </w:r>
      <w:r>
        <w:rPr>
          <w:rFonts w:ascii="Times New Roman" w:hAnsi="Times New Roman"/>
          <w:b w:val="false"/>
          <w:i/>
          <w:color w:val="000000"/>
          <w:sz w:val="22"/>
        </w:rPr>
        <w:t xml:space="preserve">Minimum coverage required. </w:t>
      </w:r>
      <w:r>
        <w:rPr>
          <w:rFonts w:ascii="Times New Roman" w:hAnsi="Times New Roman"/>
          <w:b w:val="false"/>
          <w:i w:val="false"/>
          <w:color w:val="000000"/>
          <w:sz w:val="22"/>
        </w:rPr>
        <w:t>The dramshop liability insurance policy must provide the following minimum liability coverage, exclusive in interests and cost of action, per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Fifty thousand dollars for bodily injury to or death of one person in each claim or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hundred thousand dollars for bodily injury to or death of two or more persons in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Twenty-five thousand dollars for loss of means of support of any one person in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Fifty thousand dollars for loss of means of support of two or more persons in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1000.14(3)</w:t>
      </w:r>
      <w:r>
        <w:rPr>
          <w:rFonts w:ascii="Times New Roman" w:hAnsi="Times New Roman"/>
          <w:b w:val="false"/>
          <w:i w:val="false"/>
          <w:color w:val="000000"/>
          <w:sz w:val="22"/>
        </w:rPr>
        <w:t> </w:t>
      </w:r>
      <w:r>
        <w:rPr>
          <w:rFonts w:ascii="Times New Roman" w:hAnsi="Times New Roman"/>
          <w:b w:val="false"/>
          <w:i/>
          <w:color w:val="000000"/>
          <w:sz w:val="22"/>
        </w:rPr>
        <w:t xml:space="preserve">Permitted policies. </w:t>
      </w:r>
      <w:r>
        <w:rPr>
          <w:rFonts w:ascii="Times New Roman" w:hAnsi="Times New Roman"/>
          <w:b w:val="false"/>
          <w:i w:val="false"/>
          <w:color w:val="000000"/>
          <w:sz w:val="22"/>
        </w:rPr>
        <w:t>All dramshop liability insurance policies issued under this rule must be occurrence-based policies, not claims-made-based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Claims-made-based policies. </w:t>
      </w:r>
      <w:r>
        <w:rPr>
          <w:rFonts w:ascii="Times New Roman" w:hAnsi="Times New Roman"/>
          <w:b w:val="false"/>
          <w:i w:val="false"/>
          <w:color w:val="000000"/>
          <w:sz w:val="22"/>
        </w:rPr>
        <w:t>Claims-made-based policies provide liability coverage only if a written claim is made during the policy period, or any applicable extended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Occurrence-based policies. </w:t>
      </w:r>
      <w:r>
        <w:rPr>
          <w:rFonts w:ascii="Times New Roman" w:hAnsi="Times New Roman"/>
          <w:b w:val="false"/>
          <w:i w:val="false"/>
          <w:color w:val="000000"/>
          <w:sz w:val="22"/>
        </w:rPr>
        <w:t>Occurrence-based policies provide liability coverage only for injuries or damages that occur during the policy period regardless of the number of written claims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1000.14(4)</w:t>
      </w:r>
      <w:r>
        <w:rPr>
          <w:rFonts w:ascii="Times New Roman" w:hAnsi="Times New Roman"/>
          <w:b w:val="false"/>
          <w:i w:val="false"/>
          <w:color w:val="000000"/>
          <w:sz w:val="22"/>
        </w:rPr>
        <w:t> </w:t>
      </w:r>
      <w:r>
        <w:rPr>
          <w:rFonts w:ascii="Times New Roman" w:hAnsi="Times New Roman"/>
          <w:b w:val="false"/>
          <w:i/>
          <w:color w:val="000000"/>
          <w:sz w:val="22"/>
        </w:rPr>
        <w:t xml:space="preserve">Civil tort liability. </w:t>
      </w:r>
      <w:r>
        <w:rPr>
          <w:rFonts w:ascii="Times New Roman" w:hAnsi="Times New Roman"/>
          <w:b w:val="false"/>
          <w:i w:val="false"/>
          <w:color w:val="000000"/>
          <w:sz w:val="22"/>
        </w:rPr>
        <w:t xml:space="preserve">Subject to the ordinary or customary exclusions usually found in a policy of dramshop liability insurance, the policy must contain coverage to insure against civil tort liability of the insured, created under Iowa Code sections </w:t>
      </w:r>
      <w:hyperlink r:id="rId44">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123.93</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123.94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1000.14(5)</w:t>
      </w:r>
      <w:r>
        <w:rPr>
          <w:rFonts w:ascii="Times New Roman" w:hAnsi="Times New Roman"/>
          <w:b w:val="false"/>
          <w:i w:val="false"/>
          <w:color w:val="000000"/>
          <w:sz w:val="22"/>
        </w:rPr>
        <w:t> </w:t>
      </w:r>
      <w:r>
        <w:rPr>
          <w:rFonts w:ascii="Times New Roman" w:hAnsi="Times New Roman"/>
          <w:b w:val="false"/>
          <w:i/>
          <w:color w:val="000000"/>
          <w:sz w:val="22"/>
        </w:rPr>
        <w:t xml:space="preserve">Assault and battery policy requirement. </w:t>
      </w:r>
      <w:r>
        <w:rPr>
          <w:rFonts w:ascii="Times New Roman" w:hAnsi="Times New Roman"/>
          <w:b w:val="false"/>
          <w:i w:val="false"/>
          <w:color w:val="000000"/>
          <w:sz w:val="22"/>
        </w:rPr>
        <w:t>Any dramshop liability insurance policy issued under this rule must not contain an exclusionary clause for assault and battery or intentional force with regard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agents, or any person acting as an agent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patrons or visitors to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1000.14(6)</w:t>
      </w:r>
      <w:r>
        <w:rPr>
          <w:rFonts w:ascii="Times New Roman" w:hAnsi="Times New Roman"/>
          <w:b w:val="false"/>
          <w:i w:val="false"/>
          <w:color w:val="000000"/>
          <w:sz w:val="22"/>
        </w:rPr>
        <w:t> </w:t>
      </w:r>
      <w:r>
        <w:rPr>
          <w:rFonts w:ascii="Times New Roman" w:hAnsi="Times New Roman"/>
          <w:b w:val="false"/>
          <w:i/>
          <w:color w:val="000000"/>
          <w:sz w:val="22"/>
        </w:rPr>
        <w:t xml:space="preserve">Single insurance policies for multiple establishments. </w:t>
      </w:r>
      <w:r>
        <w:rPr>
          <w:rFonts w:ascii="Times New Roman" w:hAnsi="Times New Roman"/>
          <w:b w:val="false"/>
          <w:i w:val="false"/>
          <w:color w:val="000000"/>
          <w:sz w:val="22"/>
        </w:rPr>
        <w:t>Any licensee that holds multiple licenses throughout the state may purchase a single dramshop liability insurance policy for all locations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single dramshop liability insurance policy provides at least the minimum level of coverage required under this rule for each and every location covered by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other provisions of this rule are met by the single dramshop liability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1000.14(7)</w:t>
      </w:r>
      <w:r>
        <w:rPr>
          <w:rFonts w:ascii="Times New Roman" w:hAnsi="Times New Roman"/>
          <w:b w:val="false"/>
          <w:i w:val="false"/>
          <w:color w:val="000000"/>
          <w:sz w:val="22"/>
        </w:rPr>
        <w:t> </w:t>
      </w:r>
      <w:r>
        <w:rPr>
          <w:rFonts w:ascii="Times New Roman" w:hAnsi="Times New Roman"/>
          <w:b w:val="false"/>
          <w:i/>
          <w:color w:val="000000"/>
          <w:sz w:val="22"/>
        </w:rPr>
        <w:t xml:space="preserve">Change of coverage by licensee. </w:t>
      </w:r>
      <w:r>
        <w:rPr>
          <w:rFonts w:ascii="Times New Roman" w:hAnsi="Times New Roman"/>
          <w:b w:val="false"/>
          <w:i w:val="false"/>
          <w:color w:val="000000"/>
          <w:sz w:val="22"/>
        </w:rPr>
        <w:t>A licensee may change its dramshop liability insurer at any time, but the duty is upon the licensee to provide proof of its new insurer as set out in this rule. Additionally, the licensee must maintain dramshop liability insurance coverage with no gaps in its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1000.14(8)</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coverage by insurer.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insurance company may cancel a dramshop liability insurance policy by giving a minimum of 30 days’ prior notice in writing or electronically to the department of the party’s intent to cancel the policy. The 30-day period will begin on the date that the notice of cancellation is received by the department. The dramshop insurance company must also mail a copy of the notice of cancellation to its insured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company’s notice of cancellation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party to whom the copy of the notice of cancellation was mailed and, if different, the name of the affected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to which the copy of the notice of cancellation was sent and, if different, the address of the affected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on which the notice of cancellation was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dramshop liability insurance policy is being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dramshop liability insurance policy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affected licensee’s retail alcohol license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reason for canceling the dramshop liability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1000.14(9)</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comply with this rule may subject the applicant or licensee to the penalty provisions provided in Iowa Code chapter </w:t>
      </w:r>
      <w:hyperlink r:id="rId4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including but not limited to denial, suspension, or revocation.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xml:space="preserve"> through </w:t>
      </w:r>
      <w:hyperlink r:id="rId49">
        <w:r>
          <w:rPr>
            <w:rStyle w:val="Hyperlink"/>
            <w:rFonts w:ascii="Times New Roman" w:hAnsi="Times New Roman"/>
            <w:b w:val="false"/>
            <w:i w:val="false"/>
            <w:color w:val="000000"/>
            <w:sz w:val="22"/>
          </w:rPr>
          <w:t>123.94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701—1000.15</w:t>
      </w:r>
      <w:r>
        <w:rPr>
          <w:rFonts w:ascii="Times New Roman" w:hAnsi="Times New Roman"/>
          <w:b/>
          <w:i w:val="false"/>
          <w:color w:val="000000"/>
          <w:sz w:val="22"/>
        </w:rPr>
        <w:t xml:space="preserve">(123) </w:t>
      </w:r>
      <w:r>
        <w:rPr>
          <w:rFonts w:ascii="Times New Roman" w:hAnsi="Times New Roman"/>
          <w:b/>
          <w:i w:val="false"/>
          <w:color w:val="000000"/>
          <w:sz w:val="22"/>
        </w:rPr>
        <w:t xml:space="preserve">Timely filed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1000.15(1)</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that may be imposed by a local authority upon the holder of a retail alcohol license to obtain timely filed status of a renewal application, the department may grant timely filed status if the applicant complies with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completed application with the local authority or the department as required by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current dramshop liability certificate by the license expiration date if proof of dramshop liability is required as a condition precedent to the issuance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pays the appropriate license fee in full as required by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bond has been certified by the carrier if a bond is required as a condition precedent to the issuance of the license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1000.15(2)</w:t>
      </w:r>
      <w:r>
        <w:rPr>
          <w:rFonts w:ascii="Times New Roman" w:hAnsi="Times New Roman"/>
          <w:b w:val="false"/>
          <w:i w:val="false"/>
          <w:color w:val="000000"/>
          <w:sz w:val="22"/>
        </w:rPr>
        <w:t> </w:t>
      </w:r>
      <w:r>
        <w:rPr>
          <w:rFonts w:ascii="Times New Roman" w:hAnsi="Times New Roman"/>
          <w:b w:val="false"/>
          <w:i w:val="false"/>
          <w:color w:val="000000"/>
          <w:sz w:val="22"/>
        </w:rPr>
        <w:t>Timely filed status allows the holder of the license or permit to continue to operate under a license after its expiration and until the local authority and the department have finally determined whether the license should be issued. If the application for the license is denied, timely filed status continues until the last day for seeking judicial review of the department’s action.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123.32</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701—1000.16</w:t>
      </w:r>
      <w:r>
        <w:rPr>
          <w:rFonts w:ascii="Times New Roman" w:hAnsi="Times New Roman"/>
          <w:b/>
          <w:i w:val="false"/>
          <w:color w:val="000000"/>
          <w:sz w:val="22"/>
        </w:rPr>
        <w:t xml:space="preserve">(123) </w:t>
      </w:r>
      <w:r>
        <w:rPr>
          <w:rFonts w:ascii="Times New Roman" w:hAnsi="Times New Roman"/>
          <w:b/>
          <w:i w:val="false"/>
          <w:color w:val="000000"/>
          <w:sz w:val="22"/>
        </w:rPr>
        <w:t xml:space="preserve">Surety bond requirements. </w:t>
      </w:r>
      <w:r>
        <w:rPr>
          <w:rFonts w:ascii="Times New Roman" w:hAnsi="Times New Roman"/>
          <w:b w:val="false"/>
          <w:i w:val="false"/>
          <w:color w:val="000000"/>
          <w:sz w:val="22"/>
        </w:rPr>
        <w:t>Each surety bond must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1000.16(1)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authority. </w:t>
      </w:r>
      <w:r>
        <w:rPr>
          <w:rFonts w:ascii="Times New Roman" w:hAnsi="Times New Roman"/>
          <w:b w:val="false"/>
          <w:i w:val="false"/>
          <w:color w:val="000000"/>
          <w:sz w:val="22"/>
        </w:rPr>
        <w:t>The surety bond is issued by a company holding a current certificate of authority from the commissioner of insurance authorizing the company to issue bonds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1000.16(2)</w:t>
      </w:r>
      <w:r>
        <w:rPr>
          <w:rFonts w:ascii="Times New Roman" w:hAnsi="Times New Roman"/>
          <w:b w:val="false"/>
          <w:i w:val="false"/>
          <w:color w:val="000000"/>
          <w:sz w:val="22"/>
        </w:rPr>
        <w:t> </w:t>
      </w:r>
      <w:r>
        <w:rPr>
          <w:rFonts w:ascii="Times New Roman" w:hAnsi="Times New Roman"/>
          <w:b w:val="false"/>
          <w:i/>
          <w:color w:val="000000"/>
          <w:sz w:val="22"/>
        </w:rPr>
        <w:t xml:space="preserve">Forfeiture of bond. </w:t>
      </w:r>
      <w:r>
        <w:rPr>
          <w:rFonts w:ascii="Times New Roman" w:hAnsi="Times New Roman"/>
          <w:b w:val="false"/>
          <w:i w:val="false"/>
          <w:color w:val="000000"/>
          <w:sz w:val="22"/>
        </w:rPr>
        <w:t>The surety bond contains a provision for the principal and surety to consent to the forfeiture of the principal sum of the bond in the event of revocation of the license or permit by the violation of any Iowa Code provision that requires forfeiture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1000.16(3)</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surety company or a principal may cancel a bond by giving the department a 30-day written notice of intent to cancel the bond. The 30-day period begins on the date that the department receives the notice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seeking to cancel a bond must submit written notice of such cancellation to the department and submit a copy of the notice of cancellation to the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of cancellation must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party to whom the copy of the notice of cancellation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notice of cancellation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the bond is being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surety bond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affected licensee’s or permittee’s license or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1000.16(4)</w:t>
      </w:r>
      <w:r>
        <w:rPr>
          <w:rFonts w:ascii="Times New Roman" w:hAnsi="Times New Roman"/>
          <w:b w:val="false"/>
          <w:i w:val="false"/>
          <w:color w:val="000000"/>
          <w:sz w:val="22"/>
        </w:rPr>
        <w:t> </w:t>
      </w:r>
      <w:r>
        <w:rPr>
          <w:rFonts w:ascii="Times New Roman" w:hAnsi="Times New Roman"/>
          <w:b w:val="false"/>
          <w:i/>
          <w:color w:val="000000"/>
          <w:sz w:val="22"/>
        </w:rPr>
        <w:t xml:space="preserve">Proof of bond. </w:t>
      </w:r>
      <w:r>
        <w:rPr>
          <w:rFonts w:ascii="Times New Roman" w:hAnsi="Times New Roman"/>
          <w:b w:val="false"/>
          <w:i w:val="false"/>
          <w:color w:val="000000"/>
          <w:sz w:val="22"/>
        </w:rPr>
        <w:t>A licensee or permittee is considered to have furnished a surety bond when the licensee or permittee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Filed with the department a form prescribed by the department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bond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city and state where the bond provider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bond number, the names of the principal, and the city and state where the principal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type of license or permit guaranteed by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Signatures of the principal and the bond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director of the department may require;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 this requirement by any other method deemed acceptable by the director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123.50</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123.127</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123.175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701—1000.17</w:t>
      </w:r>
      <w:r>
        <w:rPr>
          <w:rFonts w:ascii="Times New Roman" w:hAnsi="Times New Roman"/>
          <w:b/>
          <w:i w:val="false"/>
          <w:color w:val="000000"/>
          <w:sz w:val="22"/>
        </w:rPr>
        <w:t xml:space="preserve">(123) </w:t>
      </w:r>
      <w:r>
        <w:rPr>
          <w:rFonts w:ascii="Times New Roman" w:hAnsi="Times New Roman"/>
          <w:b/>
          <w:i w:val="false"/>
          <w:color w:val="000000"/>
          <w:sz w:val="22"/>
        </w:rPr>
        <w:t xml:space="preserve">Production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still” </w:t>
      </w:r>
      <w:r>
        <w:rPr>
          <w:rFonts w:ascii="Times New Roman" w:hAnsi="Times New Roman"/>
          <w:b w:val="false"/>
          <w:i w:val="false"/>
          <w:color w:val="000000"/>
          <w:sz w:val="22"/>
        </w:rPr>
        <w:t xml:space="preserve">means a still that is registered with the Alcohol and Tobacco Tax and Trade Bureau pursuant to </w:t>
      </w:r>
      <w:r>
        <w:rPr>
          <w:rFonts w:ascii="Times New Roman" w:hAnsi="Times New Roman"/>
          <w:b w:val="false"/>
          <w:i w:val="false"/>
          <w:color w:val="000000"/>
          <w:sz w:val="22"/>
        </w:rPr>
        <w:t>27 CFR 19.75(b)</w:t>
      </w:r>
      <w:r>
        <w:rPr>
          <w:rFonts w:ascii="Times New Roman" w:hAnsi="Times New Roman"/>
          <w:b w:val="false"/>
          <w:i w:val="false"/>
          <w:color w:val="000000"/>
          <w:sz w:val="22"/>
        </w:rPr>
        <w:t xml:space="preserve"> in effect as of April 1, 2023, and is actively used to manufacture spirits.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gallon” </w:t>
      </w:r>
      <w:r>
        <w:rPr>
          <w:rFonts w:ascii="Times New Roman" w:hAnsi="Times New Roman"/>
          <w:b w:val="false"/>
          <w:i w:val="false"/>
          <w:color w:val="000000"/>
          <w:sz w:val="22"/>
        </w:rPr>
        <w:t xml:space="preserve">means a United States gallon of proof spirits, or the alcoholic equivalent thereof, as defined by the Alcohol and Tobacco Tax and Trade Bureau pursuant to </w:t>
      </w:r>
      <w:r>
        <w:rPr>
          <w:rFonts w:ascii="Times New Roman" w:hAnsi="Times New Roman"/>
          <w:b w:val="false"/>
          <w:i w:val="false"/>
          <w:color w:val="000000"/>
          <w:sz w:val="22"/>
        </w:rPr>
        <w:t>27 CFR 30.11</w:t>
      </w:r>
      <w:r>
        <w:rPr>
          <w:rFonts w:ascii="Times New Roman" w:hAnsi="Times New Roman"/>
          <w:b w:val="false"/>
          <w:i w:val="false"/>
          <w:color w:val="000000"/>
          <w:sz w:val="22"/>
        </w:rPr>
        <w:t xml:space="preserve"> in effect as of April 1, 2023.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123.3(35)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701—1000.18</w:t>
      </w:r>
      <w:r>
        <w:rPr>
          <w:rFonts w:ascii="Times New Roman" w:hAnsi="Times New Roman"/>
          <w:b/>
          <w:i w:val="false"/>
          <w:color w:val="000000"/>
          <w:sz w:val="22"/>
        </w:rPr>
        <w:t xml:space="preserve">(123) </w:t>
      </w:r>
      <w:r>
        <w:rPr>
          <w:rFonts w:ascii="Times New Roman" w:hAnsi="Times New Roman"/>
          <w:b/>
          <w:i w:val="false"/>
          <w:color w:val="000000"/>
          <w:sz w:val="22"/>
        </w:rPr>
        <w:t xml:space="preserve">Manufacture and sale of native wine. </w:t>
      </w:r>
      <w:r>
        <w:rPr>
          <w:rFonts w:ascii="Times New Roman" w:hAnsi="Times New Roman"/>
          <w:b w:val="false"/>
          <w:i w:val="false"/>
          <w:color w:val="000000"/>
          <w:sz w:val="22"/>
        </w:rPr>
        <w:t xml:space="preserve">Manufacturers of native wine as defined in Iowa Code section </w:t>
      </w:r>
      <w:hyperlink r:id="rId59">
        <w:r>
          <w:rPr>
            <w:rStyle w:val="Hyperlink"/>
            <w:rFonts w:ascii="Times New Roman" w:hAnsi="Times New Roman"/>
            <w:b w:val="false"/>
            <w:i w:val="false"/>
            <w:color w:val="000000"/>
            <w:sz w:val="22"/>
          </w:rPr>
          <w:t>123.3(36)</w:t>
        </w:r>
      </w:hyperlink>
      <w:r>
        <w:rPr>
          <w:rFonts w:ascii="Times New Roman" w:hAnsi="Times New Roman"/>
          <w:b w:val="false"/>
          <w:i w:val="false"/>
          <w:color w:val="000000"/>
          <w:sz w:val="22"/>
        </w:rPr>
        <w:t xml:space="preserve"> may sell, keep, offer for sale, or deliver their native wine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1000.18(1)</w:t>
      </w:r>
      <w:r>
        <w:rPr>
          <w:rFonts w:ascii="Times New Roman" w:hAnsi="Times New Roman"/>
          <w:b w:val="false"/>
          <w:i w:val="false"/>
          <w:color w:val="000000"/>
          <w:sz w:val="22"/>
        </w:rPr>
        <w:t> </w:t>
      </w:r>
      <w:r>
        <w:rPr>
          <w:rFonts w:ascii="Times New Roman" w:hAnsi="Times New Roman"/>
          <w:b w:val="false"/>
          <w:i/>
          <w:color w:val="000000"/>
          <w:sz w:val="22"/>
        </w:rPr>
        <w:t xml:space="preserve">Class “A” native wine permit. </w:t>
      </w:r>
      <w:r>
        <w:rPr>
          <w:rFonts w:ascii="Times New Roman" w:hAnsi="Times New Roman"/>
          <w:b w:val="false"/>
          <w:i w:val="false"/>
          <w:color w:val="000000"/>
          <w:sz w:val="22"/>
        </w:rPr>
        <w:t>A manufacturer of native wine must display the original or a copy of its class “A” native wine permit in each of its native wineries and in each of its retail establishments. A manufacturer of native wine must register its retail establishment on forms or systems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1000.18(2)</w:t>
      </w:r>
      <w:r>
        <w:rPr>
          <w:rFonts w:ascii="Times New Roman" w:hAnsi="Times New Roman"/>
          <w:b w:val="false"/>
          <w:i w:val="false"/>
          <w:color w:val="000000"/>
          <w:sz w:val="22"/>
        </w:rPr>
        <w:t> </w:t>
      </w:r>
      <w:r>
        <w:rPr>
          <w:rFonts w:ascii="Times New Roman" w:hAnsi="Times New Roman"/>
          <w:b w:val="false"/>
          <w:i/>
          <w:color w:val="000000"/>
          <w:sz w:val="22"/>
        </w:rPr>
        <w:t xml:space="preserve">Monthly combined wine production and wine gallonage tax report. </w:t>
      </w:r>
      <w:r>
        <w:rPr>
          <w:rFonts w:ascii="Times New Roman" w:hAnsi="Times New Roman"/>
          <w:b w:val="false"/>
          <w:i w:val="false"/>
          <w:color w:val="000000"/>
          <w:sz w:val="22"/>
        </w:rPr>
        <w:t>A monthly report showing the amount of wine on hand at the beginning of the month, the amount produced, the amount sold, the amount of wine gallonage tax due, and any other information requested is to be filed with the department. Report forms will be furnished by the department. A manufacturer of native wine must submit a report along with any wine gallonage tax payment to the department’s licensing system by the tenth of each month for the preceding month’s business. Reports and wine gallonage tax payments submitted by the tenth of each month for the preceding month will be considered timely. This report must be submitted for each month even if no wine sales were made during the month.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123.176</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123.183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701—1000.19</w:t>
      </w:r>
      <w:r>
        <w:rPr>
          <w:rFonts w:ascii="Times New Roman" w:hAnsi="Times New Roman"/>
          <w:b/>
          <w:i w:val="false"/>
          <w:color w:val="000000"/>
          <w:sz w:val="22"/>
        </w:rPr>
        <w:t xml:space="preserve">(123) </w:t>
      </w:r>
      <w:r>
        <w:rPr>
          <w:rFonts w:ascii="Times New Roman" w:hAnsi="Times New Roman"/>
          <w:b/>
          <w:i w:val="false"/>
          <w:color w:val="000000"/>
          <w:sz w:val="22"/>
        </w:rPr>
        <w:t xml:space="preserve">Mixed drinks or cocktails not for immediate consumption. </w:t>
      </w:r>
      <w:r>
        <w:rPr>
          <w:rFonts w:ascii="Times New Roman" w:hAnsi="Times New Roman"/>
          <w:b w:val="false"/>
          <w:i w:val="false"/>
          <w:color w:val="000000"/>
          <w:sz w:val="22"/>
        </w:rPr>
        <w:t xml:space="preserve">A class “C,” class “D,” or class “F” retail alcohol licensee may mix, store, and allow the consumption of mixed drinks or cocktails that are not for immediate consumption for up to 72 hours, subject to Iowa Code section </w:t>
      </w:r>
      <w:hyperlink r:id="rId63">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consumption,” </w:t>
      </w:r>
      <w:r>
        <w:rPr>
          <w:rFonts w:ascii="Times New Roman" w:hAnsi="Times New Roman"/>
          <w:b w:val="false"/>
          <w:i w:val="false"/>
          <w:color w:val="000000"/>
          <w:sz w:val="22"/>
        </w:rPr>
        <w:t>for the purposes of this rule, means the compounding and fulfillment of a mixed drink or cocktail order at the time of sale of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“Mixed drink or cocktail,” </w:t>
      </w:r>
      <w:r>
        <w:rPr>
          <w:rFonts w:ascii="Times New Roman" w:hAnsi="Times New Roman"/>
          <w:b w:val="false"/>
          <w:i w:val="false"/>
          <w:color w:val="000000"/>
          <w:sz w:val="22"/>
        </w:rPr>
        <w:t xml:space="preserve">for the purposes of this rule, means an alcoholic beverage as defined in Iowa Code section </w:t>
      </w:r>
      <w:hyperlink r:id="rId64">
        <w:r>
          <w:rPr>
            <w:rStyle w:val="Hyperlink"/>
            <w:rFonts w:ascii="Times New Roman" w:hAnsi="Times New Roman"/>
            <w:b w:val="false"/>
            <w:i w:val="false"/>
            <w:color w:val="000000"/>
            <w:sz w:val="22"/>
          </w:rPr>
          <w:t>123.3(32)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1000.19(2)</w:t>
      </w:r>
      <w:r>
        <w:rPr>
          <w:rFonts w:ascii="Times New Roman" w:hAnsi="Times New Roman"/>
          <w:b w:val="false"/>
          <w:i w:val="false"/>
          <w:color w:val="000000"/>
          <w:sz w:val="22"/>
        </w:rPr>
        <w:t> </w:t>
      </w:r>
      <w:r>
        <w:rPr>
          <w:rFonts w:ascii="Times New Roman" w:hAnsi="Times New Roman"/>
          <w:b w:val="false"/>
          <w:i/>
          <w:color w:val="000000"/>
          <w:sz w:val="22"/>
        </w:rPr>
        <w:t xml:space="preserve">Mixing and storing conditions. </w:t>
      </w:r>
      <w:r>
        <w:rPr>
          <w:rFonts w:ascii="Times New Roman" w:hAnsi="Times New Roman"/>
          <w:b w:val="false"/>
          <w:i w:val="false"/>
          <w:color w:val="000000"/>
          <w:sz w:val="22"/>
        </w:rPr>
        <w:t>A mixed drink or cocktail that is not for immediate consumption is to be in a container compliant with applicable state and federal food safety statutes and regulations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mixed drink or cocktail must be mixed and stored in the same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mixed drink or cocktail may only be removed from the stored container for one of the following dispensing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compound and fulfill a mixed drink or cocktail order at the time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transfer into a pourable container. The pourable container needs to have an affixed label displaying information identical to that on the container from which the contents were poured. The transfer of product to a pourable container will not extend the expiration date and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mixed drink or cocktail may be strained into another container when it is returned without delay to the labeled container from which it was strained.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container and process need to be conducted in compliance with applicable state and federal food safety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mixed drink or cocktail shall not be mixed, stored, or dispensed from a container bearing an alcoholic beverage name brand.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dispensing machine that contains a mixed drink or cocktail is subject to the conditions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1000.19(3)</w:t>
      </w:r>
      <w:r>
        <w:rPr>
          <w:rFonts w:ascii="Times New Roman" w:hAnsi="Times New Roman"/>
          <w:b w:val="false"/>
          <w:i w:val="false"/>
          <w:color w:val="000000"/>
          <w:sz w:val="22"/>
        </w:rPr>
        <w:t> </w:t>
      </w:r>
      <w:r>
        <w:rPr>
          <w:rFonts w:ascii="Times New Roman" w:hAnsi="Times New Roman"/>
          <w:b w:val="false"/>
          <w:i/>
          <w:color w:val="000000"/>
          <w:sz w:val="22"/>
        </w:rPr>
        <w:t xml:space="preserve">Labeling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mixed drink or cocktail is placed into a container, a label must be affixed in a conspicuous place and legibly state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month, day, year, and time the contents are placed into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 day, year, and time the contents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title of the recipe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the person who prepared the contents of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size of the batch within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words “CONTAINS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label is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label must be removed from the container once the entire contents have been consumed, transferred to a pourable container pursuant to subparagraph </w:t>
      </w:r>
      <w:r>
        <w:rPr>
          <w:rFonts w:ascii="Times New Roman" w:hAnsi="Times New Roman"/>
          <w:b w:val="false"/>
          <w:i w:val="false"/>
          <w:color w:val="000000"/>
          <w:sz w:val="22"/>
        </w:rPr>
        <w:t>1000.19(2)</w:t>
      </w:r>
      <w:r>
        <w:rPr>
          <w:rFonts w:ascii="Times New Roman" w:hAnsi="Times New Roman"/>
          <w:b w:val="false"/>
          <w:i/>
          <w:color w:val="000000"/>
          <w:sz w:val="22"/>
        </w:rPr>
        <w:t>“b”</w:t>
      </w:r>
      <w:r>
        <w:rPr>
          <w:rFonts w:ascii="Times New Roman" w:hAnsi="Times New Roman"/>
          <w:b w:val="false"/>
          <w:i w:val="false"/>
          <w:color w:val="000000"/>
          <w:sz w:val="22"/>
        </w:rPr>
        <w:t>(2), or destroyed and disposed of in accordance with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label must not be reused or reapplied to a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new label must be placed on the container for each prepared batch of mixed drinks or cocktails that is not for immediate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access a label template on the website of the department located at </w:t>
      </w:r>
      <w:hyperlink r:id="rId65">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1000.19(4)</w:t>
      </w:r>
      <w:r>
        <w:rPr>
          <w:rFonts w:ascii="Times New Roman" w:hAnsi="Times New Roman"/>
          <w:b w:val="false"/>
          <w:i w:val="false"/>
          <w:color w:val="000000"/>
          <w:sz w:val="22"/>
        </w:rPr>
        <w:t> </w:t>
      </w:r>
      <w:r>
        <w:rPr>
          <w:rFonts w:ascii="Times New Roman" w:hAnsi="Times New Roman"/>
          <w:b w:val="false"/>
          <w:i/>
          <w:color w:val="000000"/>
          <w:sz w:val="22"/>
        </w:rPr>
        <w:t xml:space="preserve">Content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Contents of a mixed drink or cocktail may include alcoholic beverages, nonalcoholic ingredients, or a combination of both that are not for immediate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use in the mixed drink or cocktail only alcoholic beverages allowed by the license type and obtained as specified by Iowa Code chapter </w:t>
      </w:r>
      <w:hyperlink r:id="rId6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added flavors and other nonbeverage ingredients of the mixed drink or cocktail shall not include hallucinogenic substances; added caffeine or added stimulants, including but not limited to guarana, ginseng, and taurine; or a controlled substance as defined in Iowa Code section </w:t>
      </w:r>
      <w:hyperlink r:id="rId67">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 including tetrahydrocannabinol.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1000.19(5)</w:t>
      </w:r>
      <w:r>
        <w:rPr>
          <w:rFonts w:ascii="Times New Roman" w:hAnsi="Times New Roman"/>
          <w:b w:val="false"/>
          <w:i w:val="false"/>
          <w:color w:val="000000"/>
          <w:sz w:val="22"/>
        </w:rPr>
        <w:t> </w:t>
      </w:r>
      <w:r>
        <w:rPr>
          <w:rFonts w:ascii="Times New Roman" w:hAnsi="Times New Roman"/>
          <w:b w:val="false"/>
          <w:i/>
          <w:color w:val="000000"/>
          <w:sz w:val="22"/>
        </w:rPr>
        <w:t xml:space="preserve">Disposal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mixed drink or cocktail, or portion thereof, not consumed within 72 hours of the contents being placed into the empty container is expired and must be destroyed and disposed of in accordance with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expired mixed drink or cocktail that is not for immediate consumption shall not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Added to an empty container and relabeled;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Added to another mixed drink or cocktail that is not for immediate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1000.19(6)</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A licensee must maintain accurate and legible records for each prepared batch of mixed drinks or cocktails that is not for immediate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must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month, day, year, and time the contents were placed into the empty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contents placed in the container, including alcoholic beverages and nonalcoholic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recipe title and directions for preparing the contents of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size of the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identity of the person who prepared the contents of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month, day, year, and time the contents of the container were destroyed and disposed of or entirely consumed.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method of destruction and disposal or the record that the entire contents were consumed.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identity of the person who destroyed and disposed of the contents, if the contents were not consumed.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access recordkeeping forms on the website of the department located at </w:t>
      </w:r>
      <w:hyperlink r:id="rId68">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must be maintained on the licensed premises for a period of three years and shall be open to inspection pursuant to Iowa Code sections </w:t>
      </w:r>
      <w:hyperlink r:id="rId69">
        <w:r>
          <w:rPr>
            <w:rStyle w:val="Hyperlink"/>
            <w:rFonts w:ascii="Times New Roman" w:hAnsi="Times New Roman"/>
            <w:b w:val="false"/>
            <w:i w:val="false"/>
            <w:color w:val="000000"/>
            <w:sz w:val="22"/>
          </w:rPr>
          <w:t>123.30(1)</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1000.19(7)</w:t>
      </w:r>
      <w:r>
        <w:rPr>
          <w:rFonts w:ascii="Times New Roman" w:hAnsi="Times New Roman"/>
          <w:b w:val="false"/>
          <w:i w:val="false"/>
          <w:color w:val="000000"/>
          <w:sz w:val="22"/>
        </w:rPr>
        <w:t> </w:t>
      </w:r>
      <w:r>
        <w:rPr>
          <w:rFonts w:ascii="Times New Roman" w:hAnsi="Times New Roman"/>
          <w:b w:val="false"/>
          <w:i/>
          <w:color w:val="000000"/>
          <w:sz w:val="22"/>
        </w:rPr>
        <w:t xml:space="preserve">Federal alcohol compliance. </w:t>
      </w:r>
      <w:r>
        <w:rPr>
          <w:rFonts w:ascii="Times New Roman" w:hAnsi="Times New Roman"/>
          <w:b w:val="false"/>
          <w:i w:val="false"/>
          <w:color w:val="000000"/>
          <w:sz w:val="22"/>
        </w:rPr>
        <w:t>A licensee who mixes, stores, and allows the consumption of mixed drinks or cocktails that are not for immediate consumption is subject to all applicable federal statutes and regulations. Prohibitions include but are not limited to processing with non-tax-paid alcoholic liquor, aging alcoholic liquor in barrels, heating alcoholic liquor, bottling alcoholic liquor, and refilling alcoholic liquor or wine bottles.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1000.19(8)</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follow this rule subjects the licensee to the penalty provisions of Iowa Code section </w:t>
      </w:r>
      <w:hyperlink r:id="rId71">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123.49A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701—1000.20</w:t>
      </w:r>
      <w:r>
        <w:rPr>
          <w:rFonts w:ascii="Times New Roman" w:hAnsi="Times New Roman"/>
          <w:b/>
          <w:i w:val="false"/>
          <w:color w:val="000000"/>
          <w:sz w:val="22"/>
        </w:rPr>
        <w:t xml:space="preserve">(123) </w:t>
      </w:r>
      <w:r>
        <w:rPr>
          <w:rFonts w:ascii="Times New Roman" w:hAnsi="Times New Roman"/>
          <w:b/>
          <w:i w:val="false"/>
          <w:color w:val="000000"/>
          <w:sz w:val="22"/>
        </w:rPr>
        <w:t xml:space="preserve">Filling and selling of beer in a container other than the original container. </w:t>
      </w:r>
      <w:r>
        <w:rPr>
          <w:rFonts w:ascii="Times New Roman" w:hAnsi="Times New Roman"/>
          <w:b w:val="false"/>
          <w:i w:val="false"/>
          <w:color w:val="000000"/>
          <w:sz w:val="22"/>
        </w:rPr>
        <w:t xml:space="preserve">Class “B,” class “C,” special class “C,” and class “E” retail alcohol licensees, and the licensee’s employees may fill, refill, and sell beer in a container other than the original container, otherwise known as a growler, subject to Iowa Code section </w:t>
      </w:r>
      <w:hyperlink r:id="rId74">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“Beer,” </w:t>
      </w:r>
      <w:r>
        <w:rPr>
          <w:rFonts w:ascii="Times New Roman" w:hAnsi="Times New Roman"/>
          <w:b w:val="false"/>
          <w:i w:val="false"/>
          <w:color w:val="000000"/>
          <w:sz w:val="22"/>
        </w:rPr>
        <w:t xml:space="preserve">for the purposes of this rule, means “beer” as defined in Iowa Code section </w:t>
      </w:r>
      <w:hyperlink r:id="rId75">
        <w:r>
          <w:rPr>
            <w:rStyle w:val="Hyperlink"/>
            <w:rFonts w:ascii="Times New Roman" w:hAnsi="Times New Roman"/>
            <w:b w:val="false"/>
            <w:i w:val="false"/>
            <w:color w:val="000000"/>
            <w:sz w:val="22"/>
          </w:rPr>
          <w:t>123.3(7)</w:t>
        </w:r>
      </w:hyperlink>
      <w:r>
        <w:rPr>
          <w:rFonts w:ascii="Times New Roman" w:hAnsi="Times New Roman"/>
          <w:b w:val="false"/>
          <w:i w:val="false"/>
          <w:color w:val="000000"/>
          <w:sz w:val="22"/>
        </w:rPr>
        <w:t xml:space="preserve"> and “high alcoholic content beer” as defined in Iowa Code section </w:t>
      </w:r>
      <w:hyperlink r:id="rId76">
        <w:r>
          <w:rPr>
            <w:rStyle w:val="Hyperlink"/>
            <w:rFonts w:ascii="Times New Roman" w:hAnsi="Times New Roman"/>
            <w:b w:val="false"/>
            <w:i w:val="false"/>
            <w:color w:val="000000"/>
            <w:sz w:val="22"/>
          </w:rPr>
          <w:t>123.3(22)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“Growler,” </w:t>
      </w:r>
      <w:r>
        <w:rPr>
          <w:rFonts w:ascii="Times New Roman" w:hAnsi="Times New Roman"/>
          <w:b w:val="false"/>
          <w:i w:val="false"/>
          <w:color w:val="000000"/>
          <w:sz w:val="22"/>
        </w:rPr>
        <w:t>for the purposes of this rule, means any fillable and sealable glass, ceramic, plastic, aluminum, or stainless steel container designed to hold beer or high alcoholic content beer.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container,” </w:t>
      </w:r>
      <w:r>
        <w:rPr>
          <w:rFonts w:ascii="Times New Roman" w:hAnsi="Times New Roman"/>
          <w:b w:val="false"/>
          <w:i w:val="false"/>
          <w:color w:val="000000"/>
          <w:sz w:val="22"/>
        </w:rPr>
        <w:t>for the purposes of this rule, means a vessel containing beer that has been lawfully obtained and has been securely capped, sealed, or corked at the location of manufacture. For special class “A” beer permit holders, an “original container” includes a tank used for storing and serving beer.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1000.20(2)</w:t>
      </w:r>
      <w:r>
        <w:rPr>
          <w:rFonts w:ascii="Times New Roman" w:hAnsi="Times New Roman"/>
          <w:b w:val="false"/>
          <w:i w:val="false"/>
          <w:color w:val="000000"/>
          <w:sz w:val="22"/>
        </w:rPr>
        <w:t> </w:t>
      </w:r>
      <w:r>
        <w:rPr>
          <w:rFonts w:ascii="Times New Roman" w:hAnsi="Times New Roman"/>
          <w:b w:val="false"/>
          <w:i/>
          <w:color w:val="000000"/>
          <w:sz w:val="22"/>
        </w:rPr>
        <w:t xml:space="preserve">Filling and refilling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may be filled or refilled only with beer from the original container purchased from a class “A” beer permittee. However, a special class “A” beer permittee may fill or refill a growler with beer manufactured by the special class “A” beer permittee on the permittee’s licensed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retailer may exchange a growler to be filled or refilled.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filling or refilling of a growler must be conducted in compliance with applicable state and federal food safety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1000.20(3)</w:t>
      </w:r>
      <w:r>
        <w:rPr>
          <w:rFonts w:ascii="Times New Roman" w:hAnsi="Times New Roman"/>
          <w:b w:val="false"/>
          <w:i w:val="false"/>
          <w:color w:val="000000"/>
          <w:sz w:val="22"/>
        </w:rPr>
        <w:t> </w:t>
      </w:r>
      <w:r>
        <w:rPr>
          <w:rFonts w:ascii="Times New Roman" w:hAnsi="Times New Roman"/>
          <w:b w:val="false"/>
          <w:i/>
          <w:color w:val="000000"/>
          <w:sz w:val="22"/>
        </w:rPr>
        <w:t xml:space="preserve">Sealing conditions. </w:t>
      </w:r>
      <w:r>
        <w:rPr>
          <w:rFonts w:ascii="Times New Roman" w:hAnsi="Times New Roman"/>
          <w:b w:val="false"/>
          <w:i w:val="false"/>
          <w:color w:val="000000"/>
          <w:sz w:val="22"/>
        </w:rPr>
        <w:t>A filled or refilled growler must be securely sealed at the time of the sale by the licensee or permittee or the licensee’s or permittee’s employees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must bear a cap, lid, stopper, or plug.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plastic heat shrink wrap band, strip, or sleeve must extend around the cap or lid or over the stopper or plug to form a seal that must be broken upon the opening of the growler. A lid permanently affixed with a can seamer does not need a plastic heat shrink wrap band, strip, or sleeve.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heat shrink wrap seal must be so secure that it is visibly apparent when the seal on a growler has been tampered with or a sealed growler has otherwise been reopened.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1000.20(4)</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cannot be delivered or direct-shipped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cannot be sold or otherwise distributed to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or permittee or a licensee’s or permittee’s employees are not to allow a consumer to fill or refill a growler.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filling, refilling, and selling of a growler is limited to the hours in which alcoholic beverages may be legally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filled or refilled growler is not to be sold to any consumer who is under legal age,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original container may only be opened on the premises of a class “B” or class “E” retail alcohol licensee for the limited purposes of filling or refilling a growler as provided in this rule or for a tasting in accordance with rule </w:t>
      </w:r>
      <w:hyperlink r:id="rId77">
        <w:r>
          <w:rPr>
            <w:rStyle w:val="Hyperlink"/>
            <w:rFonts w:ascii="Times New Roman" w:hAnsi="Times New Roman"/>
            <w:b w:val="false"/>
            <w:i w:val="false"/>
            <w:color w:val="000000"/>
            <w:sz w:val="22"/>
          </w:rPr>
          <w:t>701—1003.6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1000.20(5)</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follow this rule subjects the licensee or permittee to the penalty provisions provided in Iowa Code chapter </w:t>
      </w:r>
      <w:hyperlink r:id="rId7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701—1000.21</w:t>
      </w:r>
      <w:r>
        <w:rPr>
          <w:rFonts w:ascii="Times New Roman" w:hAnsi="Times New Roman"/>
          <w:b/>
          <w:i w:val="false"/>
          <w:color w:val="000000"/>
          <w:sz w:val="22"/>
        </w:rPr>
        <w:t xml:space="preserve">(123) </w:t>
      </w:r>
      <w:r>
        <w:rPr>
          <w:rFonts w:ascii="Times New Roman" w:hAnsi="Times New Roman"/>
          <w:b/>
          <w:i w:val="false"/>
          <w:color w:val="000000"/>
          <w:sz w:val="22"/>
        </w:rPr>
        <w:t xml:space="preserve">Filling and selling of wine and native wine in a container other than the original container. </w:t>
      </w:r>
      <w:r>
        <w:rPr>
          <w:rFonts w:ascii="Times New Roman" w:hAnsi="Times New Roman"/>
          <w:b w:val="false"/>
          <w:i w:val="false"/>
          <w:color w:val="000000"/>
          <w:sz w:val="22"/>
        </w:rPr>
        <w:t xml:space="preserve">Class “B,” class “C,” special class “C,” and class “E” retail alcohol licensees; special class “B” and special class “C” retail native wine licensees; and a licensee’s employees may fill, refill, and sell wine or native wine in a container other than the original container, otherwise known as a growler, subject to Iowa Code sections </w:t>
      </w:r>
      <w:hyperlink r:id="rId80">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123.31B</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“Growler,” </w:t>
      </w:r>
      <w:r>
        <w:rPr>
          <w:rFonts w:ascii="Times New Roman" w:hAnsi="Times New Roman"/>
          <w:b w:val="false"/>
          <w:i w:val="false"/>
          <w:color w:val="000000"/>
          <w:sz w:val="22"/>
        </w:rPr>
        <w:t>for the purposes of this rule, means any fillable and sealable glass, ceramic, plastic, aluminum, or stainless steel container designed to hold wine or native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“Native wine,” </w:t>
      </w:r>
      <w:r>
        <w:rPr>
          <w:rFonts w:ascii="Times New Roman" w:hAnsi="Times New Roman"/>
          <w:b w:val="false"/>
          <w:i w:val="false"/>
          <w:color w:val="000000"/>
          <w:sz w:val="22"/>
        </w:rPr>
        <w:t xml:space="preserve">for the purposes of this rule, means the same as defined in Iowa Code section </w:t>
      </w:r>
      <w:hyperlink r:id="rId83">
        <w:r>
          <w:rPr>
            <w:rStyle w:val="Hyperlink"/>
            <w:rFonts w:ascii="Times New Roman" w:hAnsi="Times New Roman"/>
            <w:b w:val="false"/>
            <w:i w:val="false"/>
            <w:color w:val="000000"/>
            <w:sz w:val="22"/>
          </w:rPr>
          <w:t>123.3(36)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container,” </w:t>
      </w:r>
      <w:r>
        <w:rPr>
          <w:rFonts w:ascii="Times New Roman" w:hAnsi="Times New Roman"/>
          <w:b w:val="false"/>
          <w:i w:val="false"/>
          <w:color w:val="000000"/>
          <w:sz w:val="22"/>
        </w:rPr>
        <w:t>for the purposes of this rule, means a vessel containing wine or native wine that has been lawfully obtained and has been securely capped, sealed, or corked at the location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“Wine,” </w:t>
      </w:r>
      <w:r>
        <w:rPr>
          <w:rFonts w:ascii="Times New Roman" w:hAnsi="Times New Roman"/>
          <w:b w:val="false"/>
          <w:i w:val="false"/>
          <w:color w:val="000000"/>
          <w:sz w:val="22"/>
        </w:rPr>
        <w:t xml:space="preserve">for the purposes of this rule, means the same as defined in Iowa Code section </w:t>
      </w:r>
      <w:hyperlink r:id="rId84">
        <w:r>
          <w:rPr>
            <w:rStyle w:val="Hyperlink"/>
            <w:rFonts w:ascii="Times New Roman" w:hAnsi="Times New Roman"/>
            <w:b w:val="false"/>
            <w:i w:val="false"/>
            <w:color w:val="000000"/>
            <w:sz w:val="22"/>
          </w:rPr>
          <w:t>123.3(53)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1000.21(2)</w:t>
      </w:r>
      <w:r>
        <w:rPr>
          <w:rFonts w:ascii="Times New Roman" w:hAnsi="Times New Roman"/>
          <w:b w:val="false"/>
          <w:i w:val="false"/>
          <w:color w:val="000000"/>
          <w:sz w:val="22"/>
        </w:rPr>
        <w:t> </w:t>
      </w:r>
      <w:r>
        <w:rPr>
          <w:rFonts w:ascii="Times New Roman" w:hAnsi="Times New Roman"/>
          <w:b w:val="false"/>
          <w:i/>
          <w:color w:val="000000"/>
          <w:sz w:val="22"/>
        </w:rPr>
        <w:t xml:space="preserve">Filling and refilling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may be filled or refilled only with wine or native wine from the original container purchased from a class “A” wine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class “B” and special class “C” retail native wine licensees may fill a growler only with native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retailer may exchange a growler to be filled or refilled.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filling or refilling of a growler must be conducted in compliance with applicable state and federal food safety statutes and regulations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1000.21(3)</w:t>
      </w:r>
      <w:r>
        <w:rPr>
          <w:rFonts w:ascii="Times New Roman" w:hAnsi="Times New Roman"/>
          <w:b w:val="false"/>
          <w:i w:val="false"/>
          <w:color w:val="000000"/>
          <w:sz w:val="22"/>
        </w:rPr>
        <w:t> </w:t>
      </w:r>
      <w:r>
        <w:rPr>
          <w:rFonts w:ascii="Times New Roman" w:hAnsi="Times New Roman"/>
          <w:b w:val="false"/>
          <w:i/>
          <w:color w:val="000000"/>
          <w:sz w:val="22"/>
        </w:rPr>
        <w:t xml:space="preserve">Sealing conditions. </w:t>
      </w:r>
      <w:r>
        <w:rPr>
          <w:rFonts w:ascii="Times New Roman" w:hAnsi="Times New Roman"/>
          <w:b w:val="false"/>
          <w:i w:val="false"/>
          <w:color w:val="000000"/>
          <w:sz w:val="22"/>
        </w:rPr>
        <w:t>A filled or refilled growler must be securely sealed at the time of the sale by the licensee or the licensee’s employees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must bear a cap, lid, stopper, or plug.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plastic heat shrink wrap band, strip, or sleeve must extend around the cap or lid or over the stopper or plug to form a seal that must be broken upon the opening of the growler. A lid permanently affixed with a can seamer does not need a plastic heat shrink wrap band, strip, or sleeve.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heat shrink wrap seal must be so secure that it is visibly apparent when the seal on a growler has been tampered with or a sealed growler has otherwise been reopened.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1000.21(4)</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is not allowed to be delivered or direct-shipped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is not allowed to be sold or otherwise distributed to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or a licensee’s employees must not allow a consumer to fill or refill a growler.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filling, refilling, and selling of a growler is limited to the hours in which alcoholic beverages may be legally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filled or refilled growler must not be sold to any consumer who is under legal age,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original container may only be opened on the premises of a class “B” or class “E” retail alcohol licensee for the limited purposes of filling or refilling a growler as provided in this rule, or for a tasting in accordance with rule </w:t>
      </w:r>
      <w:hyperlink r:id="rId85">
        <w:r>
          <w:rPr>
            <w:rStyle w:val="Hyperlink"/>
            <w:rFonts w:ascii="Times New Roman" w:hAnsi="Times New Roman"/>
            <w:b w:val="false"/>
            <w:i w:val="false"/>
            <w:color w:val="000000"/>
            <w:sz w:val="22"/>
          </w:rPr>
          <w:t>701—1003.6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1000.21(5)</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follow this rule subjects the licensee to the penalty provisions provided in Iowa Code chapter </w:t>
      </w:r>
      <w:hyperlink r:id="rId8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7">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123.31B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701—1000.22</w:t>
      </w:r>
      <w:r>
        <w:rPr>
          <w:rFonts w:ascii="Times New Roman" w:hAnsi="Times New Roman"/>
          <w:b/>
          <w:i w:val="false"/>
          <w:color w:val="000000"/>
          <w:sz w:val="22"/>
        </w:rPr>
        <w:t xml:space="preserve">(123) </w:t>
      </w:r>
      <w:r>
        <w:rPr>
          <w:rFonts w:ascii="Times New Roman" w:hAnsi="Times New Roman"/>
          <w:b/>
          <w:i w:val="false"/>
          <w:color w:val="000000"/>
          <w:sz w:val="22"/>
        </w:rPr>
        <w:t xml:space="preserve">Filling and selling of mixed drinks or cocktails in a container other than the original container. </w:t>
      </w:r>
      <w:r>
        <w:rPr>
          <w:rFonts w:ascii="Times New Roman" w:hAnsi="Times New Roman"/>
          <w:b w:val="false"/>
          <w:i w:val="false"/>
          <w:color w:val="000000"/>
          <w:sz w:val="22"/>
        </w:rPr>
        <w:t xml:space="preserve">Class “C” retail alcohol licensees and the licensee’s employees may fill and sell mixed drinks or cocktails in a container other than the original container subject to Iowa Code section </w:t>
      </w:r>
      <w:hyperlink r:id="rId90">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(3)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“Alcoholic liquor,” </w:t>
      </w:r>
      <w:r>
        <w:rPr>
          <w:rFonts w:ascii="Times New Roman" w:hAnsi="Times New Roman"/>
          <w:b w:val="false"/>
          <w:i w:val="false"/>
          <w:color w:val="000000"/>
          <w:sz w:val="22"/>
        </w:rPr>
        <w:t xml:space="preserve">for the purposes of this rule, means the same as defined in Iowa Code section </w:t>
      </w:r>
      <w:hyperlink r:id="rId91">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 xml:space="preserve"> and includes “native distilled spirits” as defined in Iowa Code section </w:t>
      </w:r>
      <w:hyperlink r:id="rId92">
        <w:r>
          <w:rPr>
            <w:rStyle w:val="Hyperlink"/>
            <w:rFonts w:ascii="Times New Roman" w:hAnsi="Times New Roman"/>
            <w:b w:val="false"/>
            <w:i w:val="false"/>
            <w:color w:val="000000"/>
            <w:sz w:val="22"/>
          </w:rPr>
          <w:t>123.3(34)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“Mixed drink or cocktail,” </w:t>
      </w:r>
      <w:r>
        <w:rPr>
          <w:rFonts w:ascii="Times New Roman" w:hAnsi="Times New Roman"/>
          <w:b w:val="false"/>
          <w:i w:val="false"/>
          <w:color w:val="000000"/>
          <w:sz w:val="22"/>
        </w:rPr>
        <w:t xml:space="preserve">for the purposes of this rule, means the same as defined in Iowa Code section </w:t>
      </w:r>
      <w:hyperlink r:id="rId93">
        <w:r>
          <w:rPr>
            <w:rStyle w:val="Hyperlink"/>
            <w:rFonts w:ascii="Times New Roman" w:hAnsi="Times New Roman"/>
            <w:b w:val="false"/>
            <w:i w:val="false"/>
            <w:color w:val="000000"/>
            <w:sz w:val="22"/>
          </w:rPr>
          <w:t>123.3(32)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container,” </w:t>
      </w:r>
      <w:r>
        <w:rPr>
          <w:rFonts w:ascii="Times New Roman" w:hAnsi="Times New Roman"/>
          <w:b w:val="false"/>
          <w:i w:val="false"/>
          <w:color w:val="000000"/>
          <w:sz w:val="22"/>
        </w:rPr>
        <w:t>for the purposes of this rule, means a vessel containing alcoholic liquor that has been lawfully obtained and has been securely capped, sealed, or corked at the location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“Sealed container,” </w:t>
      </w:r>
      <w:r>
        <w:rPr>
          <w:rFonts w:ascii="Times New Roman" w:hAnsi="Times New Roman"/>
          <w:b w:val="false"/>
          <w:i w:val="false"/>
          <w:color w:val="000000"/>
          <w:sz w:val="22"/>
        </w:rPr>
        <w:t xml:space="preserve">for the purposes of this rule, means the same as defined in Iowa Code section </w:t>
      </w:r>
      <w:hyperlink r:id="rId94">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“Tamper-evident,” </w:t>
      </w:r>
      <w:r>
        <w:rPr>
          <w:rFonts w:ascii="Times New Roman" w:hAnsi="Times New Roman"/>
          <w:b w:val="false"/>
          <w:i w:val="false"/>
          <w:color w:val="000000"/>
          <w:sz w:val="22"/>
        </w:rPr>
        <w:t xml:space="preserve">for the purposes of this rule, means the same as defined in Iowa Code section </w:t>
      </w:r>
      <w:hyperlink r:id="rId95">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1000.22(2)</w:t>
      </w:r>
      <w:r>
        <w:rPr>
          <w:rFonts w:ascii="Times New Roman" w:hAnsi="Times New Roman"/>
          <w:b w:val="false"/>
          <w:i w:val="false"/>
          <w:color w:val="000000"/>
          <w:sz w:val="22"/>
        </w:rPr>
        <w:t> </w:t>
      </w:r>
      <w:r>
        <w:rPr>
          <w:rFonts w:ascii="Times New Roman" w:hAnsi="Times New Roman"/>
          <w:b w:val="false"/>
          <w:i/>
          <w:color w:val="000000"/>
          <w:sz w:val="22"/>
        </w:rPr>
        <w:t xml:space="preserve">Filling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sealed container may be filled and sold only by the licensee or the licensee’s employees who are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sealed container may be filled only upon receipt of an order by a consumer of legal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sealed container may be filled only with mixed drinks or cocktails composed in whole or in part with alcoholic liquor from an original container purchased from a class “E” retail alcohol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filling of a sealed container needs to be conducted in compliance with applicable state and federal food safety statutes and regulations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1000.22(3)</w:t>
      </w:r>
      <w:r>
        <w:rPr>
          <w:rFonts w:ascii="Times New Roman" w:hAnsi="Times New Roman"/>
          <w:b w:val="false"/>
          <w:i w:val="false"/>
          <w:color w:val="000000"/>
          <w:sz w:val="22"/>
        </w:rPr>
        <w:t> </w:t>
      </w:r>
      <w:r>
        <w:rPr>
          <w:rFonts w:ascii="Times New Roman" w:hAnsi="Times New Roman"/>
          <w:b w:val="false"/>
          <w:i/>
          <w:color w:val="000000"/>
          <w:sz w:val="22"/>
        </w:rPr>
        <w:t xml:space="preserve">Sealing conditions. </w:t>
      </w:r>
      <w:r>
        <w:rPr>
          <w:rFonts w:ascii="Times New Roman" w:hAnsi="Times New Roman"/>
          <w:b w:val="false"/>
          <w:i w:val="false"/>
          <w:color w:val="000000"/>
          <w:sz w:val="22"/>
        </w:rPr>
        <w:t>A sealed container must bear one of the following tamper-evident sealing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plastic heat shrink wrap band, strip, or sleeve extending around the cap or lid to form a seal that must be broken when the sealed container is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screw top cap or lid that breaks apart when the sealed container is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vacuum- or heat-sealed pouch containing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lid permanently affixed to the sealed container with a can seamer.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1000.22(4)</w:t>
      </w:r>
      <w:r>
        <w:rPr>
          <w:rFonts w:ascii="Times New Roman" w:hAnsi="Times New Roman"/>
          <w:b w:val="false"/>
          <w:i w:val="false"/>
          <w:color w:val="000000"/>
          <w:sz w:val="22"/>
        </w:rPr>
        <w:t> </w:t>
      </w:r>
      <w:r>
        <w:rPr>
          <w:rFonts w:ascii="Times New Roman" w:hAnsi="Times New Roman"/>
          <w:b w:val="false"/>
          <w:i/>
          <w:color w:val="000000"/>
          <w:sz w:val="22"/>
        </w:rPr>
        <w:t xml:space="preserve">Labeling conditions. </w:t>
      </w:r>
      <w:r>
        <w:rPr>
          <w:rFonts w:ascii="Times New Roman" w:hAnsi="Times New Roman"/>
          <w:b w:val="false"/>
          <w:i w:val="false"/>
          <w:color w:val="000000"/>
          <w:sz w:val="22"/>
        </w:rPr>
        <w:t>A sealed container must bear a label affixed to the sealed container in a conspicuous place and legibly state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name of the licensee that sold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words “CONTAINS ALCOHOL.”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1000.22(5)</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sealed container is not allowed to be filled in advance of a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or a licensee’s employees must not allow a consumer to fill a sealed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filling and selling of a sealed container is limited to the hours in which alcoholic beverages may be legally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sealed container must not be sold to any consumer who is under legal age,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1000.22(6)</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must maintain records, in printed or electronic format, of all sales of sealed containers. The records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business name of the licensee that sold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product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must keep the necessary records for a three-year period from the date the record was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must be open to inspection pursuant to Iowa Code section </w:t>
      </w:r>
      <w:hyperlink r:id="rId96">
        <w:r>
          <w:rPr>
            <w:rStyle w:val="Hyperlink"/>
            <w:rFonts w:ascii="Times New Roman" w:hAnsi="Times New Roman"/>
            <w:b w:val="false"/>
            <w:i w:val="false"/>
            <w:color w:val="000000"/>
            <w:sz w:val="22"/>
          </w:rPr>
          <w:t>123.30(1)</w:t>
        </w:r>
      </w:hyperlink>
      <w:r>
        <w:rPr>
          <w:rFonts w:ascii="Times New Roman" w:hAnsi="Times New Roman"/>
          <w:b w:val="false"/>
          <w:i w:val="false"/>
          <w:color w:val="000000"/>
          <w:sz w:val="22"/>
        </w:rPr>
        <w:t xml:space="preserve"> and may be subject to an administrative subpoena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1000.22(7)</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follow this rule shall subject the licensee to the penalty provisions provided in Iowa Code chapter </w:t>
      </w:r>
      <w:hyperlink r:id="rId9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8">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701—1000.23</w:t>
      </w:r>
      <w:r>
        <w:rPr>
          <w:rFonts w:ascii="Times New Roman" w:hAnsi="Times New Roman"/>
          <w:b/>
          <w:i w:val="false"/>
          <w:color w:val="000000"/>
          <w:sz w:val="22"/>
        </w:rPr>
        <w:t xml:space="preserve">(123) </w:t>
      </w:r>
      <w:r>
        <w:rPr>
          <w:rFonts w:ascii="Times New Roman" w:hAnsi="Times New Roman"/>
          <w:b/>
          <w:i w:val="false"/>
          <w:color w:val="000000"/>
          <w:sz w:val="22"/>
        </w:rPr>
        <w:t xml:space="preserve">Vending and self-service machines to dispense alcoholic beverages.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1000.23(1)</w:t>
      </w:r>
      <w:r>
        <w:rPr>
          <w:rFonts w:ascii="Times New Roman" w:hAnsi="Times New Roman"/>
          <w:b w:val="false"/>
          <w:i w:val="false"/>
          <w:color w:val="000000"/>
          <w:sz w:val="22"/>
        </w:rPr>
        <w:t> </w:t>
      </w:r>
      <w:r>
        <w:rPr>
          <w:rFonts w:ascii="Times New Roman" w:hAnsi="Times New Roman"/>
          <w:b w:val="false"/>
          <w:i/>
          <w:color w:val="000000"/>
          <w:sz w:val="22"/>
        </w:rPr>
        <w:t xml:space="preserve">Vending machines. </w:t>
      </w:r>
      <w:r>
        <w:rPr>
          <w:rFonts w:ascii="Times New Roman" w:hAnsi="Times New Roman"/>
          <w:b w:val="false"/>
          <w:i w:val="false"/>
          <w:color w:val="000000"/>
          <w:sz w:val="22"/>
        </w:rPr>
        <w:t>A retail alcohol licensee is not allowed to install or permit the installation of vending machines on the licensed premises for the purpose of selling, dispensing, or serving alcoholic beverages. A vending machine is defined as a slug-, coin-, currency-, or credit card-operated mechanical device used for dispensing merchandise, including single cans of beer or other alcoholic beverages, and includes but is not limited to a mechanical device operated by remote control and used for dispensing single cans of beer or other alcoholic beverages. A vending machine is not a unit installed in individual hotel or motel rooms used for the storage of alcoholic beverages and intended for the personal use of hotel or motel guests within the privacy of the guests’ rooms or a self-service machine registered and used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1000.23(2)</w:t>
      </w:r>
      <w:r>
        <w:rPr>
          <w:rFonts w:ascii="Times New Roman" w:hAnsi="Times New Roman"/>
          <w:b w:val="false"/>
          <w:i w:val="false"/>
          <w:color w:val="000000"/>
          <w:sz w:val="22"/>
        </w:rPr>
        <w:t> </w:t>
      </w:r>
      <w:r>
        <w:rPr>
          <w:rFonts w:ascii="Times New Roman" w:hAnsi="Times New Roman"/>
          <w:b w:val="false"/>
          <w:i/>
          <w:color w:val="000000"/>
          <w:sz w:val="22"/>
        </w:rPr>
        <w:t xml:space="preserve">Self-service machines. </w:t>
      </w:r>
      <w:r>
        <w:rPr>
          <w:rFonts w:ascii="Times New Roman" w:hAnsi="Times New Roman"/>
          <w:b w:val="false"/>
          <w:i w:val="false"/>
          <w:color w:val="000000"/>
          <w:sz w:val="22"/>
        </w:rPr>
        <w:t>Retail alcohol licensees may utilize a self-service machine to dispense beer or wine as authorized under the licensee’s retail alcohol license. Self-service machines are only authorized to operate on an approved retail alcohol licensed premises and shall not be operated under a catering privilege. For the purposes of this rule, “self-service machine” means any mechanical device capable of dispensing a preprogrammed amount of wine or beer, or both, directly to a consumer in exchange for a service card, wristband, or other token activated by the licensee and provided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retail alcohol licensee seeking to use a self-service machine must register the machine with the department in a manner determined by the director at least 30 days prior to the date the licensee intends to begin use of the machine. The director will review the registration for compliance with the conditions of this rule and approve or disapprove the use of the self-service machine. A licensee must submit a new registration prior to implementing any change to the operational plan or capacity of the device. No self-service machine may be used without approval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conditions for a retail alcohol licensee to use self-service machines to dispense beer or wine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sale, the retail alcohol licensee, or licensee’s employees, must determine the consumer is of legal age and is not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operation, the retail alcohol licensee must adequately monitor the self-service machine so as to prevent the sale or service of beer or wine to persons who are under legal drinking age or are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sale of beer or wine, or both, and the corresponding activation of the service card, wristband, or other token to operate a self-service machine must be conducted in-person by the licensee directly with the consumer and cannot be automated at the machine. This condition includes reactivation of an already-issued service card, wristband, or other token for further use by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self-service machine must not dispense a serving of more than 64 ounces of beer or 24 ounces of wine before reactivation of a service card, wristband, or other token is acquired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self-service machine must be programmed to automatically deactivate the service card, wristband, or other token after the programmed amount of beer or wine purchased by the consumer has been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 cards, wristbands, or other tokens must be deactivated at the end of each business day. For purposes of this rule, a “business day” means 6 a.m. until 2 a.m. the following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licensee, or the licensee’s employees, must have the ability to deactivate a self-service machine and all associated service cards, wristbands, or other tokens remotely at all times.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1">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701—1000.24</w:t>
      </w:r>
      <w:r>
        <w:rPr>
          <w:rFonts w:ascii="Times New Roman" w:hAnsi="Times New Roman"/>
          <w:b/>
          <w:i w:val="false"/>
          <w:color w:val="000000"/>
          <w:sz w:val="22"/>
        </w:rPr>
        <w:t xml:space="preserve">(123) </w:t>
      </w:r>
      <w:r>
        <w:rPr>
          <w:rFonts w:ascii="Times New Roman" w:hAnsi="Times New Roman"/>
          <w:b/>
          <w:i w:val="false"/>
          <w:color w:val="000000"/>
          <w:sz w:val="22"/>
        </w:rPr>
        <w:t xml:space="preserve">Delivery of alcoholic liquor. </w:t>
      </w:r>
      <w:r>
        <w:rPr>
          <w:rFonts w:ascii="Times New Roman" w:hAnsi="Times New Roman"/>
          <w:b w:val="false"/>
          <w:i w:val="false"/>
          <w:color w:val="000000"/>
          <w:sz w:val="22"/>
        </w:rPr>
        <w:t>A person who does not work for the department may operate a delivery service in which the person charges class “E” retail alcohol licensees a fee for picking up the licensee’s alcoholic liquor orders at the department’s warehouse and delivering the orders to the licensee’s licensed premises.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2">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123.10(10)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701—1000.25</w:t>
      </w:r>
      <w:r>
        <w:rPr>
          <w:rFonts w:ascii="Times New Roman" w:hAnsi="Times New Roman"/>
          <w:b/>
          <w:i w:val="false"/>
          <w:color w:val="000000"/>
          <w:sz w:val="22"/>
        </w:rPr>
        <w:t xml:space="preserve">(123) </w:t>
      </w:r>
      <w:r>
        <w:rPr>
          <w:rFonts w:ascii="Times New Roman" w:hAnsi="Times New Roman"/>
          <w:b/>
          <w:i w:val="false"/>
          <w:color w:val="000000"/>
          <w:sz w:val="22"/>
        </w:rPr>
        <w:t xml:space="preserve">Prohibited storage of alcoholic beverages. </w:t>
      </w:r>
      <w:r>
        <w:rPr>
          <w:rFonts w:ascii="Times New Roman" w:hAnsi="Times New Roman"/>
          <w:b w:val="false"/>
          <w:i w:val="false"/>
          <w:color w:val="000000"/>
          <w:sz w:val="22"/>
        </w:rPr>
        <w:t>Retail alcohol licensees may keep or store alcoholic beverages only on the licensed premises. However, the director may authorize the storage of alcoholic beverages on premises other than those covered by the license or permit. The director may allow class “D” retail alcohol licensees to store alcoholic beverages in a bonded warehouse to be consumed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123.10(11)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701—1000.26</w:t>
      </w:r>
      <w:r>
        <w:rPr>
          <w:rFonts w:ascii="Times New Roman" w:hAnsi="Times New Roman"/>
          <w:b/>
          <w:i w:val="false"/>
          <w:color w:val="000000"/>
          <w:sz w:val="22"/>
        </w:rPr>
        <w:t xml:space="preserve">(123) </w:t>
      </w:r>
      <w:r>
        <w:rPr>
          <w:rFonts w:ascii="Times New Roman" w:hAnsi="Times New Roman"/>
          <w:b/>
          <w:i w:val="false"/>
          <w:color w:val="000000"/>
          <w:sz w:val="22"/>
        </w:rPr>
        <w:t xml:space="preserve">Sale of alcoholic beverages stock when licensee sells business. </w:t>
      </w:r>
      <w:r>
        <w:rPr>
          <w:rFonts w:ascii="Times New Roman" w:hAnsi="Times New Roman"/>
          <w:b w:val="false"/>
          <w:i w:val="false"/>
          <w:color w:val="000000"/>
          <w:sz w:val="22"/>
        </w:rPr>
        <w:t>When a retail alcohol licensee goes out of business, the licensee may sell the licensee’s stock of alcoholic beverages to the person who is going to operate a licensed establishment in the same location.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6">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701—1000.27</w:t>
      </w:r>
      <w:r>
        <w:rPr>
          <w:rFonts w:ascii="Times New Roman" w:hAnsi="Times New Roman"/>
          <w:b/>
          <w:i w:val="false"/>
          <w:color w:val="000000"/>
          <w:sz w:val="22"/>
        </w:rPr>
        <w:t xml:space="preserve">(123) </w:t>
      </w:r>
      <w:r>
        <w:rPr>
          <w:rFonts w:ascii="Times New Roman" w:hAnsi="Times New Roman"/>
          <w:b/>
          <w:i w:val="false"/>
          <w:color w:val="000000"/>
          <w:sz w:val="22"/>
        </w:rPr>
        <w:t xml:space="preserve">Execution and levy on alcoholic beverages. </w:t>
      </w:r>
      <w:r>
        <w:rPr>
          <w:rFonts w:ascii="Times New Roman" w:hAnsi="Times New Roman"/>
          <w:b w:val="false"/>
          <w:i w:val="false"/>
          <w:color w:val="000000"/>
          <w:sz w:val="22"/>
        </w:rPr>
        <w:t xml:space="preserve">Judgments or orders requiring the payment of money or the delivery of the possession of property may be enforced against retail alcohol licensees, beer permittees, and wine permittees by execution pursuant to the provisions of Iowa Code chapter </w:t>
      </w:r>
      <w:hyperlink r:id="rId107">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1000.27(1)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 xml:space="preserve">for the purposes of this rule, means the same as defined in Iowa Code section </w:t>
      </w:r>
      <w:hyperlink r:id="rId108">
        <w:r>
          <w:rPr>
            <w:rStyle w:val="Hyperlink"/>
            <w:rFonts w:ascii="Times New Roman" w:hAnsi="Times New Roman"/>
            <w:b w:val="false"/>
            <w:i w:val="false"/>
            <w:color w:val="000000"/>
            <w:sz w:val="22"/>
          </w:rPr>
          <w:t>554.9102(1)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“Secured party,” </w:t>
      </w:r>
      <w:r>
        <w:rPr>
          <w:rFonts w:ascii="Times New Roman" w:hAnsi="Times New Roman"/>
          <w:b w:val="false"/>
          <w:i w:val="false"/>
          <w:color w:val="000000"/>
          <w:sz w:val="22"/>
        </w:rPr>
        <w:t xml:space="preserve">for the purposes of this rule, means the same as defined in Iowa Code section </w:t>
      </w:r>
      <w:hyperlink r:id="rId109">
        <w:r>
          <w:rPr>
            <w:rStyle w:val="Hyperlink"/>
            <w:rFonts w:ascii="Times New Roman" w:hAnsi="Times New Roman"/>
            <w:b w:val="false"/>
            <w:i w:val="false"/>
            <w:color w:val="000000"/>
            <w:sz w:val="22"/>
          </w:rPr>
          <w:t>554.9102(1)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1000.27(2)</w:t>
      </w:r>
      <w:r>
        <w:rPr>
          <w:rFonts w:ascii="Times New Roman" w:hAnsi="Times New Roman"/>
          <w:b w:val="false"/>
          <w:i w:val="false"/>
          <w:color w:val="000000"/>
          <w:sz w:val="22"/>
        </w:rPr>
        <w:t> </w:t>
      </w:r>
      <w:r>
        <w:rPr>
          <w:rFonts w:ascii="Times New Roman" w:hAnsi="Times New Roman"/>
          <w:b w:val="false"/>
          <w:i w:val="false"/>
          <w:color w:val="000000"/>
          <w:sz w:val="22"/>
        </w:rPr>
        <w:t xml:space="preserve">A secured party may take possession of and dispose of a retail alcohol licensee’s or permittee’s alcoholic beverages inventory in which the secured party has a security interest in such collateral pursuant to the provisions of Iowa Code chapter </w:t>
      </w:r>
      <w:hyperlink r:id="rId110">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xml:space="preserve">. The secured party may operate under the retail alcohol license or permit of its debtor for the purpose of disposing of the alcoholic beverages inventory. However, if the debtor is a class “E” retail alcohol licensee, the secured party cannot purchase alcoholic liquor from the department to continue to operate its debtor’s business. A secured party operating under the retail alcohol license or permit of its debtor shall dispose of the alcoholic beverages inventory by sale only to persons authorized under Iowa Code chapter </w:t>
      </w:r>
      <w:hyperlink r:id="rId11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to purchase alcoholic beverages inventory from the debtor. When a secured party takes possession of a retail alcohol licensee’s or permittee’s alcoholic beverages inventory, the secured party must notify the department in writing of such action. A secured party must further inform the department of the manner in which it intends to dispose of the alcoholic beverages inventory and shall state the reasonable length of time in which it intends to operate under the retail alcohol license or permit of its debtor. The secured party must notify the department in writing when the disposition of its collateral has been completed, and the secured party must cease operating under the retail alcohol license or permit of its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1000.27(3)</w:t>
      </w:r>
      <w:r>
        <w:rPr>
          <w:rFonts w:ascii="Times New Roman" w:hAnsi="Times New Roman"/>
          <w:b w:val="false"/>
          <w:i w:val="false"/>
          <w:color w:val="000000"/>
          <w:sz w:val="22"/>
        </w:rPr>
        <w:t> </w:t>
      </w:r>
      <w:r>
        <w:rPr>
          <w:rFonts w:ascii="Times New Roman" w:hAnsi="Times New Roman"/>
          <w:b w:val="false"/>
          <w:i w:val="false"/>
          <w:color w:val="000000"/>
          <w:sz w:val="22"/>
        </w:rPr>
        <w:t xml:space="preserve">A sheriff or other officer acting pursuant to Iowa Code chapter </w:t>
      </w:r>
      <w:hyperlink r:id="rId112">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 xml:space="preserve"> may take possession of a retail alcohol licensee’s or permittee’s alcoholic beverages inventory and may dispose of such inventory according to the provisions of Iowa Code chapter </w:t>
      </w:r>
      <w:hyperlink r:id="rId113">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 xml:space="preserve">; however, the sheriff or other officer must sell the alcoholic beverages inventory only to those persons authorized by Iowa Code chapter </w:t>
      </w:r>
      <w:hyperlink r:id="rId11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to purchase alcoholic beverages inventory from the retail alcohol licensee or permittee whose inventory is subject to the execution and levy. The sheriff or other officer must notify the department in writing at the time the sheriff or officer takes possession of a retail alcohol licensee’s or permittee’s alcoholic beverages inventory and must further notify the department of the time and place of the sale of such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5">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123.38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701—1000.28</w:t>
      </w:r>
      <w:r>
        <w:rPr>
          <w:rFonts w:ascii="Times New Roman" w:hAnsi="Times New Roman"/>
          <w:b/>
          <w:i w:val="false"/>
          <w:color w:val="000000"/>
          <w:sz w:val="22"/>
        </w:rPr>
        <w:t xml:space="preserve">(123) </w:t>
      </w:r>
      <w:r>
        <w:rPr>
          <w:rFonts w:ascii="Times New Roman" w:hAnsi="Times New Roman"/>
          <w:b/>
          <w:i w:val="false"/>
          <w:color w:val="000000"/>
          <w:sz w:val="22"/>
        </w:rPr>
        <w:t xml:space="preserve">Dishonored payment for alcoholic liquor.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1000.28(1)</w:t>
      </w:r>
      <w:r>
        <w:rPr>
          <w:rFonts w:ascii="Times New Roman" w:hAnsi="Times New Roman"/>
          <w:b w:val="false"/>
          <w:i w:val="false"/>
          <w:color w:val="000000"/>
          <w:sz w:val="22"/>
        </w:rPr>
        <w:t> </w:t>
      </w:r>
      <w:r>
        <w:rPr>
          <w:rFonts w:ascii="Times New Roman" w:hAnsi="Times New Roman"/>
          <w:b w:val="false"/>
          <w:i w:val="false"/>
          <w:color w:val="000000"/>
          <w:sz w:val="22"/>
        </w:rPr>
        <w:t>If a class “E” retail alcohol licensee tenders payment for alcoholic liquor that is subsequently dishonored, the licensee will enter a certified funds status for a duration determined by the director. During the certified funds status period, the licensee will tender a bank draft in exact payment in advance of the licensee’s alcoholic liquor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1000.28(2)</w:t>
      </w:r>
      <w:r>
        <w:rPr>
          <w:rFonts w:ascii="Times New Roman" w:hAnsi="Times New Roman"/>
          <w:b w:val="false"/>
          <w:i w:val="false"/>
          <w:color w:val="000000"/>
          <w:sz w:val="22"/>
        </w:rPr>
        <w:t> </w:t>
      </w:r>
      <w:r>
        <w:rPr>
          <w:rFonts w:ascii="Times New Roman" w:hAnsi="Times New Roman"/>
          <w:b w:val="false"/>
          <w:i w:val="false"/>
          <w:color w:val="000000"/>
          <w:sz w:val="22"/>
        </w:rPr>
        <w:t>The department may collect from the licensee a $20 fee for each dishonored payment for the purchase of alcoholic liquor.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1000.28(3)</w:t>
      </w:r>
      <w:r>
        <w:rPr>
          <w:rFonts w:ascii="Times New Roman" w:hAnsi="Times New Roman"/>
          <w:b w:val="false"/>
          <w:i w:val="false"/>
          <w:color w:val="000000"/>
          <w:sz w:val="22"/>
        </w:rPr>
        <w:t> </w:t>
      </w:r>
      <w:r>
        <w:rPr>
          <w:rFonts w:ascii="Times New Roman" w:hAnsi="Times New Roman"/>
          <w:b w:val="false"/>
          <w:i w:val="false"/>
          <w:color w:val="000000"/>
          <w:sz w:val="22"/>
        </w:rPr>
        <w:t>Any class “E” retail alcohol licensee that is enrolled in automatic license renewal and tenders payment for alcoholic liquor that is subsequently dishonored will be unenrolled from automatic license renewal.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8">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123.24</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701—1000.29</w:t>
      </w:r>
      <w:r>
        <w:rPr>
          <w:rFonts w:ascii="Times New Roman" w:hAnsi="Times New Roman"/>
          <w:b/>
          <w:i w:val="false"/>
          <w:color w:val="000000"/>
          <w:sz w:val="22"/>
        </w:rPr>
        <w:t xml:space="preserve">(123) </w:t>
      </w:r>
      <w:r>
        <w:rPr>
          <w:rFonts w:ascii="Times New Roman" w:hAnsi="Times New Roman"/>
          <w:b/>
          <w:i w:val="false"/>
          <w:color w:val="000000"/>
          <w:sz w:val="22"/>
        </w:rPr>
        <w:t xml:space="preserve">Violation by agent or employee. </w:t>
      </w:r>
      <w:r>
        <w:rPr>
          <w:rFonts w:ascii="Times New Roman" w:hAnsi="Times New Roman"/>
          <w:b w:val="false"/>
          <w:i w:val="false"/>
          <w:color w:val="000000"/>
          <w:sz w:val="22"/>
        </w:rPr>
        <w:t>Any violation of the alcoholic beverage control Act or the rules of the department by any employee or agent of a licensee is considered to be the act of the licensee and subjects the licensee to civil penalty, suspension, or revocation.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1">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123.49(2)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701—1000.30</w:t>
      </w:r>
      <w:r>
        <w:rPr>
          <w:rFonts w:ascii="Times New Roman" w:hAnsi="Times New Roman"/>
          <w:b/>
          <w:i w:val="false"/>
          <w:color w:val="000000"/>
          <w:sz w:val="22"/>
        </w:rPr>
        <w:t xml:space="preserve">(123) </w:t>
      </w:r>
      <w:r>
        <w:rPr>
          <w:rFonts w:ascii="Times New Roman" w:hAnsi="Times New Roman"/>
          <w:b/>
          <w:i w:val="false"/>
          <w:color w:val="000000"/>
          <w:sz w:val="22"/>
        </w:rPr>
        <w:t xml:space="preserve">Suspension of license or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1000.30(1)</w:t>
      </w:r>
      <w:r>
        <w:rPr>
          <w:rFonts w:ascii="Times New Roman" w:hAnsi="Times New Roman"/>
          <w:b w:val="false"/>
          <w:i w:val="false"/>
          <w:color w:val="000000"/>
          <w:sz w:val="22"/>
        </w:rPr>
        <w:t> </w:t>
      </w:r>
      <w:r>
        <w:rPr>
          <w:rFonts w:ascii="Times New Roman" w:hAnsi="Times New Roman"/>
          <w:b w:val="false"/>
          <w:i/>
          <w:color w:val="000000"/>
          <w:sz w:val="22"/>
        </w:rPr>
        <w:t xml:space="preserve">Suspensions by a local authority or the department. </w:t>
      </w:r>
      <w:r>
        <w:rPr>
          <w:rFonts w:ascii="Times New Roman" w:hAnsi="Times New Roman"/>
          <w:b w:val="false"/>
          <w:i w:val="false"/>
          <w:color w:val="000000"/>
          <w:sz w:val="22"/>
        </w:rPr>
        <w:t>At the time of a license or permit suspension, a placard furnished by the department must be placed in a conspicuous place in the front door or window of the licensed or permitted establishment. The placard must state that the license or permit is suspended, the suspension duration, and the reason for the suspension. No licensee or permittee may remove, alter, obscure, or destroy a suspension placard prior to an ordered suspension’s expiration without the express written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1000.30(2)</w:t>
      </w:r>
      <w:r>
        <w:rPr>
          <w:rFonts w:ascii="Times New Roman" w:hAnsi="Times New Roman"/>
          <w:b w:val="false"/>
          <w:i w:val="false"/>
          <w:color w:val="000000"/>
          <w:sz w:val="22"/>
        </w:rPr>
        <w:t> </w:t>
      </w:r>
      <w:r>
        <w:rPr>
          <w:rFonts w:ascii="Times New Roman" w:hAnsi="Times New Roman"/>
          <w:b w:val="false"/>
          <w:i/>
          <w:color w:val="000000"/>
          <w:sz w:val="22"/>
        </w:rPr>
        <w:t xml:space="preserve">Effect of suspension. </w:t>
      </w:r>
      <w:r>
        <w:rPr>
          <w:rFonts w:ascii="Times New Roman" w:hAnsi="Times New Roman"/>
          <w:b w:val="false"/>
          <w:i w:val="false"/>
          <w:color w:val="000000"/>
          <w:sz w:val="22"/>
        </w:rPr>
        <w:t>Alcoholic beverages must not be sold, served, or consumed on a licensed premises during a suspension period. A licensed premises may be open during a suspension period to conduct other lawful business during the suspension period. A retail alcohol licensee must not purchase alcoholic beverages from a wholesaler or the department during the suspension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3">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701—1000.31</w:t>
      </w:r>
      <w:r>
        <w:rPr>
          <w:rFonts w:ascii="Times New Roman" w:hAnsi="Times New Roman"/>
          <w:b/>
          <w:i w:val="false"/>
          <w:color w:val="000000"/>
          <w:sz w:val="22"/>
        </w:rPr>
        <w:t xml:space="preserve">(123) </w:t>
      </w:r>
      <w:r>
        <w:rPr>
          <w:rFonts w:ascii="Times New Roman" w:hAnsi="Times New Roman"/>
          <w:b/>
          <w:i w:val="false"/>
          <w:color w:val="000000"/>
          <w:sz w:val="22"/>
        </w:rPr>
        <w:t xml:space="preserve">Revocation or suspension. </w:t>
      </w:r>
      <w:r>
        <w:rPr>
          <w:rFonts w:ascii="Times New Roman" w:hAnsi="Times New Roman"/>
          <w:b w:val="false"/>
          <w:i w:val="false"/>
          <w:color w:val="000000"/>
          <w:sz w:val="22"/>
        </w:rPr>
        <w:t>When the local authority revokes or suspends a retail alcohol license, the local authority must notify the department in writing stating the reasons for the revocation or suspension and, in the case of a suspension, the length of time of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5">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123.32</w:t>
        </w:r>
      </w:hyperlink>
      <w:r>
        <w:rPr>
          <w:rFonts w:ascii="Times New Roman" w:hAnsi="Times New Roman"/>
          <w:b w:val="false"/>
          <w:i w:val="false"/>
          <w:color w:val="000000"/>
          <w:sz w:val="22"/>
        </w:rPr>
        <w:t xml:space="preserve">, and </w:t>
      </w:r>
      <w:hyperlink r:id="rId127">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9085C</w:t>
      </w:r>
      <w:r>
        <w:rPr>
          <w:rFonts w:ascii="Times New Roman" w:hAnsi="Times New Roman"/>
          <w:b w:val="false"/>
          <w:i w:val="false"/>
          <w:color w:val="000000"/>
          <w:sz w:val="21"/>
        </w:rPr>
        <w:t xml:space="preserve"> (Notice ARC 8726C, IAB 2/5/25)</w:t>
      </w:r>
      <w:r>
        <w:rPr>
          <w:rFonts w:ascii="Times New Roman" w:hAnsi="Times New Roman"/>
          <w:b w:val="false"/>
          <w:i w:val="false"/>
          <w:color w:val="000000"/>
          <w:sz w:val="21"/>
        </w:rPr>
        <w:t>, IAB 4/2/25, effective 5/7/25]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3.pdf" Type="http://schemas.openxmlformats.org/officeDocument/2006/relationships/hyperlink" Id="rId5"/>
    <Relationship TargetMode="External" Target="https://www.legis.iowa.gov/docs/ico/chapter/123.4.pdf" Type="http://schemas.openxmlformats.org/officeDocument/2006/relationships/hyperlink" Id="rId6"/>
    <Relationship TargetMode="External" Target="https://www.legis.iowa.gov/docs/ico/chapter/123.pdf" Type="http://schemas.openxmlformats.org/officeDocument/2006/relationships/hyperlink" Id="rId7"/>
    <Relationship TargetMode="External" Target="https://www.legis.iowa.gov/docs/ico/chapter/123.pdf" Type="http://schemas.openxmlformats.org/officeDocument/2006/relationships/hyperlink" Id="rId8"/>
    <Relationship TargetMode="External" Target="https://www.legis.iowa.gov/docs/ico/chapter/123.39.pdf" Type="http://schemas.openxmlformats.org/officeDocument/2006/relationships/hyperlink" Id="rId9"/>
    <Relationship TargetMode="External" Target="https://www.legis.iowa.gov/docs/ico/chapter/123.39.pdf" Type="http://schemas.openxmlformats.org/officeDocument/2006/relationships/hyperlink" Id="rId10"/>
    <Relationship TargetMode="External" Target="https://www.legis.iowa.gov/docs/ico/chapter/272D.pdf" Type="http://schemas.openxmlformats.org/officeDocument/2006/relationships/hyperlink" Id="rId11"/>
    <Relationship TargetMode="External" Target="https://www.legis.iowa.gov/docs/ico/chapter/123.3.pdf" Type="http://schemas.openxmlformats.org/officeDocument/2006/relationships/hyperlink" Id="rId12"/>
    <Relationship TargetMode="External" Target="https://www.legis.iowa.gov/docs/ico/chapter/123.10.pdf" Type="http://schemas.openxmlformats.org/officeDocument/2006/relationships/hyperlink" Id="rId13"/>
    <Relationship TargetMode="External" Target="https://www.legis.iowa.gov/docs/ico/chapter/272D.8.pdf" Type="http://schemas.openxmlformats.org/officeDocument/2006/relationships/hyperlink" Id="rId14"/>
    <Relationship TargetMode="External" Target="https://www.legis.iowa.gov/docs/ico/chapter/123.4.pdf" Type="http://schemas.openxmlformats.org/officeDocument/2006/relationships/hyperlink" Id="rId15"/>
    <Relationship TargetMode="External" Target="https://www.legis.iowa.gov/docs/ico/chapter/123.30.pdf" Type="http://schemas.openxmlformats.org/officeDocument/2006/relationships/hyperlink" Id="rId16"/>
    <Relationship TargetMode="External" Target="https://www.legis.iowa.gov/docs/ico/chapter/123.10.pdf" Type="http://schemas.openxmlformats.org/officeDocument/2006/relationships/hyperlink" Id="rId17"/>
    <Relationship TargetMode="External" Target="https://www.legis.iowa.gov/docs/ico/chapter/123.39.pdf" Type="http://schemas.openxmlformats.org/officeDocument/2006/relationships/hyperlink" Id="rId18"/>
    <Relationship TargetMode="External" Target="https://www.legis.iowa.gov/docs/ico/chapter/123.3.pdf" Type="http://schemas.openxmlformats.org/officeDocument/2006/relationships/hyperlink" Id="rId19"/>
    <Relationship TargetMode="External" Target="https://www.legis.iowa.gov/docs/ico/chapter/123.3.pdf" Type="http://schemas.openxmlformats.org/officeDocument/2006/relationships/hyperlink" Id="rId20"/>
    <Relationship TargetMode="External" Target="https://www.legis.iowa.gov/docs/ico/chapter/123.3.pdf" Type="http://schemas.openxmlformats.org/officeDocument/2006/relationships/hyperlink" Id="rId21"/>
    <Relationship TargetMode="External" Target="https://www.legis.iowa.gov/docs/ico/chapter/123.4.pdf" Type="http://schemas.openxmlformats.org/officeDocument/2006/relationships/hyperlink" Id="rId22"/>
    <Relationship TargetMode="External" Target="https://www.legis.iowa.gov/docs/ico/chapter/123.30.pdf" Type="http://schemas.openxmlformats.org/officeDocument/2006/relationships/hyperlink" Id="rId23"/>
    <Relationship TargetMode="External" Target="https://www.legis.iowa.gov/docs/iac/rule/701.1000.6.pdf" Type="http://schemas.openxmlformats.org/officeDocument/2006/relationships/hyperlink" Id="rId24"/>
    <Relationship TargetMode="External" Target="https://www.legis.iowa.gov/docs/ico/chapter/123.3.pdf" Type="http://schemas.openxmlformats.org/officeDocument/2006/relationships/hyperlink" Id="rId25"/>
    <Relationship TargetMode="External" Target="https://www.legis.iowa.gov/docs/ico/chapter/123.4.pdf" Type="http://schemas.openxmlformats.org/officeDocument/2006/relationships/hyperlink" Id="rId26"/>
    <Relationship TargetMode="External" Target="https://www.legis.iowa.gov/docs/ico/chapter/123.38.pdf" Type="http://schemas.openxmlformats.org/officeDocument/2006/relationships/hyperlink" Id="rId27"/>
    <Relationship TargetMode="External" Target="https://www.legis.iowa.gov/docs/ico/chapter/123.4.pdf" Type="http://schemas.openxmlformats.org/officeDocument/2006/relationships/hyperlink" Id="rId28"/>
    <Relationship TargetMode="External" Target="https://www.legis.iowa.gov/docs/ico/chapter/123.38.pdf" Type="http://schemas.openxmlformats.org/officeDocument/2006/relationships/hyperlink" Id="rId29"/>
    <Relationship TargetMode="External" Target="https://www.legis.iowa.gov/docs/ico/chapter/123.30.pdf" Type="http://schemas.openxmlformats.org/officeDocument/2006/relationships/hyperlink" Id="rId30"/>
    <Relationship TargetMode="External" Target="https://www.legis.iowa.gov/docs/ico/chapter/123.49.pdf" Type="http://schemas.openxmlformats.org/officeDocument/2006/relationships/hyperlink" Id="rId31"/>
    <Relationship TargetMode="External" Target="https://www.legis.iowa.gov/docs/ico/chapter/123.3.pdf" Type="http://schemas.openxmlformats.org/officeDocument/2006/relationships/hyperlink" Id="rId32"/>
    <Relationship TargetMode="External" Target="https://www.legis.iowa.gov/docs/ico/chapter/123.10.pdf" Type="http://schemas.openxmlformats.org/officeDocument/2006/relationships/hyperlink" Id="rId33"/>
    <Relationship TargetMode="External" Target="https://www.legis.iowa.gov/docs/ico/chapter/123.49.pdf" Type="http://schemas.openxmlformats.org/officeDocument/2006/relationships/hyperlink" Id="rId34"/>
    <Relationship TargetMode="External" Target="https://www.legis.iowa.gov/docs/ico/chapter/123.49.pdf" Type="http://schemas.openxmlformats.org/officeDocument/2006/relationships/hyperlink" Id="rId35"/>
    <Relationship TargetMode="External" Target="https://www.legis.iowa.gov/docs/ico/chapter/123.49.pdf" Type="http://schemas.openxmlformats.org/officeDocument/2006/relationships/hyperlink" Id="rId36"/>
    <Relationship TargetMode="External" Target="https://www.legis.iowa.gov/docs/ico/chapter/123.4.pdf" Type="http://schemas.openxmlformats.org/officeDocument/2006/relationships/hyperlink" Id="rId37"/>
    <Relationship TargetMode="External" Target="https://www.legis.iowa.gov/docs/ico/chapter/123.10.pdf" Type="http://schemas.openxmlformats.org/officeDocument/2006/relationships/hyperlink" Id="rId38"/>
    <Relationship TargetMode="External" Target="https://www.legis.iowa.gov/docs/ico/chapter/123.31.pdf" Type="http://schemas.openxmlformats.org/officeDocument/2006/relationships/hyperlink" Id="rId39"/>
    <Relationship TargetMode="External" Target="https://www.legis.iowa.gov/docs/ico/chapter/123.49.pdf" Type="http://schemas.openxmlformats.org/officeDocument/2006/relationships/hyperlink" Id="rId40"/>
    <Relationship TargetMode="External" Target="https://www.legis.iowa.gov/docs/ico/chapter/123.92.pdf" Type="http://schemas.openxmlformats.org/officeDocument/2006/relationships/hyperlink" Id="rId41"/>
    <Relationship TargetMode="External" Target="https://www.legis.iowa.gov/docs/ico/chapter/123.92.pdf" Type="http://schemas.openxmlformats.org/officeDocument/2006/relationships/hyperlink" Id="rId42"/>
    <Relationship TargetMode="External" Target="https://www.legis.iowa.gov/docs/ico/chapter/123.pdf" Type="http://schemas.openxmlformats.org/officeDocument/2006/relationships/hyperlink" Id="rId43"/>
    <Relationship TargetMode="External" Target="https://www.legis.iowa.gov/docs/ico/chapter/123.92.pdf" Type="http://schemas.openxmlformats.org/officeDocument/2006/relationships/hyperlink" Id="rId44"/>
    <Relationship TargetMode="External" Target="https://www.legis.iowa.gov/docs/ico/chapter/123.93.pdf" Type="http://schemas.openxmlformats.org/officeDocument/2006/relationships/hyperlink" Id="rId45"/>
    <Relationship TargetMode="External" Target="https://www.legis.iowa.gov/docs/ico/chapter/123.94.pdf" Type="http://schemas.openxmlformats.org/officeDocument/2006/relationships/hyperlink" Id="rId46"/>
    <Relationship TargetMode="External" Target="https://www.legis.iowa.gov/docs/ico/chapter/123.pdf" Type="http://schemas.openxmlformats.org/officeDocument/2006/relationships/hyperlink" Id="rId47"/>
    <Relationship TargetMode="External" Target="https://www.legis.iowa.gov/docs/ico/chapter/123.92.pdf" Type="http://schemas.openxmlformats.org/officeDocument/2006/relationships/hyperlink" Id="rId48"/>
    <Relationship TargetMode="External" Target="https://www.legis.iowa.gov/docs/ico/chapter/123.94.pdf" Type="http://schemas.openxmlformats.org/officeDocument/2006/relationships/hyperlink" Id="rId49"/>
    <Relationship TargetMode="External" Target="https://www.legis.iowa.gov/docs/ico/chapter/123.3.pdf" Type="http://schemas.openxmlformats.org/officeDocument/2006/relationships/hyperlink" Id="rId50"/>
    <Relationship TargetMode="External" Target="https://www.legis.iowa.gov/docs/ico/chapter/123.32.pdf" Type="http://schemas.openxmlformats.org/officeDocument/2006/relationships/hyperlink" Id="rId51"/>
    <Relationship TargetMode="External" Target="https://www.legis.iowa.gov/docs/ico/chapter/123.35.pdf" Type="http://schemas.openxmlformats.org/officeDocument/2006/relationships/hyperlink" Id="rId52"/>
    <Relationship TargetMode="External" Target="https://www.legis.iowa.gov/docs/ico/chapter/17A.18.pdf" Type="http://schemas.openxmlformats.org/officeDocument/2006/relationships/hyperlink" Id="rId53"/>
    <Relationship TargetMode="External" Target="https://www.legis.iowa.gov/docs/ico/chapter/123.30.pdf" Type="http://schemas.openxmlformats.org/officeDocument/2006/relationships/hyperlink" Id="rId54"/>
    <Relationship TargetMode="External" Target="https://www.legis.iowa.gov/docs/ico/chapter/123.50.pdf" Type="http://schemas.openxmlformats.org/officeDocument/2006/relationships/hyperlink" Id="rId55"/>
    <Relationship TargetMode="External" Target="https://www.legis.iowa.gov/docs/ico/chapter/123.127.pdf" Type="http://schemas.openxmlformats.org/officeDocument/2006/relationships/hyperlink" Id="rId56"/>
    <Relationship TargetMode="External" Target="https://www.legis.iowa.gov/docs/ico/chapter/123.175.pdf" Type="http://schemas.openxmlformats.org/officeDocument/2006/relationships/hyperlink" Id="rId57"/>
    <Relationship TargetMode="External" Target="https://www.legis.iowa.gov/docs/ico/chapter/123.3.pdf" Type="http://schemas.openxmlformats.org/officeDocument/2006/relationships/hyperlink" Id="rId58"/>
    <Relationship TargetMode="External" Target="https://www.legis.iowa.gov/docs/ico/chapter/123.3.pdf" Type="http://schemas.openxmlformats.org/officeDocument/2006/relationships/hyperlink" Id="rId59"/>
    <Relationship TargetMode="External" Target="https://www.legis.iowa.gov/docs/ico/chapter/123.4.pdf" Type="http://schemas.openxmlformats.org/officeDocument/2006/relationships/hyperlink" Id="rId60"/>
    <Relationship TargetMode="External" Target="https://www.legis.iowa.gov/docs/ico/chapter/123.176.pdf" Type="http://schemas.openxmlformats.org/officeDocument/2006/relationships/hyperlink" Id="rId61"/>
    <Relationship TargetMode="External" Target="https://www.legis.iowa.gov/docs/ico/chapter/123.183.pdf" Type="http://schemas.openxmlformats.org/officeDocument/2006/relationships/hyperlink" Id="rId62"/>
    <Relationship TargetMode="External" Target="https://www.legis.iowa.gov/docs/ico/chapter/123.49.pdf" Type="http://schemas.openxmlformats.org/officeDocument/2006/relationships/hyperlink" Id="rId63"/>
    <Relationship TargetMode="External" Target="https://www.legis.iowa.gov/docs/ico/chapter/123.3.pdf" Type="http://schemas.openxmlformats.org/officeDocument/2006/relationships/hyperlink" Id="rId64"/>
    <Relationship TargetMode="External" Target="http://revenue.iowa.gov" Type="http://schemas.openxmlformats.org/officeDocument/2006/relationships/hyperlink" Id="rId65"/>
    <Relationship TargetMode="External" Target="https://www.legis.iowa.gov/docs/ico/chapter/123.pdf" Type="http://schemas.openxmlformats.org/officeDocument/2006/relationships/hyperlink" Id="rId66"/>
    <Relationship TargetMode="External" Target="https://www.legis.iowa.gov/docs/ico/chapter/124.101.pdf" Type="http://schemas.openxmlformats.org/officeDocument/2006/relationships/hyperlink" Id="rId67"/>
    <Relationship TargetMode="External" Target="http://revenue.iowa.gov" Type="http://schemas.openxmlformats.org/officeDocument/2006/relationships/hyperlink" Id="rId68"/>
    <Relationship TargetMode="External" Target="https://www.legis.iowa.gov/docs/ico/chapter/123.30.pdf" Type="http://schemas.openxmlformats.org/officeDocument/2006/relationships/hyperlink" Id="rId69"/>
    <Relationship TargetMode="External" Target="https://www.legis.iowa.gov/docs/ico/chapter/123.33.pdf" Type="http://schemas.openxmlformats.org/officeDocument/2006/relationships/hyperlink" Id="rId70"/>
    <Relationship TargetMode="External" Target="https://www.legis.iowa.gov/docs/ico/chapter/123.39.pdf" Type="http://schemas.openxmlformats.org/officeDocument/2006/relationships/hyperlink" Id="rId71"/>
    <Relationship TargetMode="External" Target="https://www.legis.iowa.gov/docs/ico/chapter/123.49.pdf" Type="http://schemas.openxmlformats.org/officeDocument/2006/relationships/hyperlink" Id="rId72"/>
    <Relationship TargetMode="External" Target="https://www.legis.iowa.gov/docs/ico/chapter/123.49A.pdf" Type="http://schemas.openxmlformats.org/officeDocument/2006/relationships/hyperlink" Id="rId73"/>
    <Relationship TargetMode="External" Target="https://www.legis.iowa.gov/docs/ico/chapter/123.31A.pdf" Type="http://schemas.openxmlformats.org/officeDocument/2006/relationships/hyperlink" Id="rId74"/>
    <Relationship TargetMode="External" Target="https://www.legis.iowa.gov/docs/ico/chapter/123.3.pdf" Type="http://schemas.openxmlformats.org/officeDocument/2006/relationships/hyperlink" Id="rId75"/>
    <Relationship TargetMode="External" Target="https://www.legis.iowa.gov/docs/ico/chapter/123.3.pdf" Type="http://schemas.openxmlformats.org/officeDocument/2006/relationships/hyperlink" Id="rId76"/>
    <Relationship TargetMode="External" Target="https://www.legis.iowa.gov/docs/iac/rule/701.1003.6.pdf" Type="http://schemas.openxmlformats.org/officeDocument/2006/relationships/hyperlink" Id="rId77"/>
    <Relationship TargetMode="External" Target="https://www.legis.iowa.gov/docs/ico/chapter/123.pdf" Type="http://schemas.openxmlformats.org/officeDocument/2006/relationships/hyperlink" Id="rId78"/>
    <Relationship TargetMode="External" Target="https://www.legis.iowa.gov/docs/ico/chapter/123.31A.pdf" Type="http://schemas.openxmlformats.org/officeDocument/2006/relationships/hyperlink" Id="rId79"/>
    <Relationship TargetMode="External" Target="https://www.legis.iowa.gov/docs/ico/chapter/123.30.pdf" Type="http://schemas.openxmlformats.org/officeDocument/2006/relationships/hyperlink" Id="rId80"/>
    <Relationship TargetMode="External" Target="https://www.legis.iowa.gov/docs/ico/chapter/123.31A.pdf" Type="http://schemas.openxmlformats.org/officeDocument/2006/relationships/hyperlink" Id="rId81"/>
    <Relationship TargetMode="External" Target="https://www.legis.iowa.gov/docs/ico/chapter/123.31B.pdf" Type="http://schemas.openxmlformats.org/officeDocument/2006/relationships/hyperlink" Id="rId82"/>
    <Relationship TargetMode="External" Target="https://www.legis.iowa.gov/docs/ico/chapter/123.3.pdf" Type="http://schemas.openxmlformats.org/officeDocument/2006/relationships/hyperlink" Id="rId83"/>
    <Relationship TargetMode="External" Target="https://www.legis.iowa.gov/docs/ico/chapter/123.3.pdf" Type="http://schemas.openxmlformats.org/officeDocument/2006/relationships/hyperlink" Id="rId84"/>
    <Relationship TargetMode="External" Target="https://www.legis.iowa.gov/docs/iac/rule/701.1003.6.pdf" Type="http://schemas.openxmlformats.org/officeDocument/2006/relationships/hyperlink" Id="rId85"/>
    <Relationship TargetMode="External" Target="https://www.legis.iowa.gov/docs/ico/chapter/123.pdf" Type="http://schemas.openxmlformats.org/officeDocument/2006/relationships/hyperlink" Id="rId86"/>
    <Relationship TargetMode="External" Target="https://www.legis.iowa.gov/docs/ico/chapter/123.30.pdf" Type="http://schemas.openxmlformats.org/officeDocument/2006/relationships/hyperlink" Id="rId87"/>
    <Relationship TargetMode="External" Target="https://www.legis.iowa.gov/docs/ico/chapter/123.31A.pdf" Type="http://schemas.openxmlformats.org/officeDocument/2006/relationships/hyperlink" Id="rId88"/>
    <Relationship TargetMode="External" Target="https://www.legis.iowa.gov/docs/ico/chapter/123.31B.pdf" Type="http://schemas.openxmlformats.org/officeDocument/2006/relationships/hyperlink" Id="rId89"/>
    <Relationship TargetMode="External" Target="https://www.legis.iowa.gov/docs/ico/chapter/123.49.pdf" Type="http://schemas.openxmlformats.org/officeDocument/2006/relationships/hyperlink" Id="rId90"/>
    <Relationship TargetMode="External" Target="https://www.legis.iowa.gov/docs/ico/chapter/123.3.pdf" Type="http://schemas.openxmlformats.org/officeDocument/2006/relationships/hyperlink" Id="rId91"/>
    <Relationship TargetMode="External" Target="https://www.legis.iowa.gov/docs/ico/chapter/123.3.pdf" Type="http://schemas.openxmlformats.org/officeDocument/2006/relationships/hyperlink" Id="rId92"/>
    <Relationship TargetMode="External" Target="https://www.legis.iowa.gov/docs/ico/chapter/123.3.pdf" Type="http://schemas.openxmlformats.org/officeDocument/2006/relationships/hyperlink" Id="rId93"/>
    <Relationship TargetMode="External" Target="https://www.legis.iowa.gov/docs/ico/chapter/123.49.pdf" Type="http://schemas.openxmlformats.org/officeDocument/2006/relationships/hyperlink" Id="rId94"/>
    <Relationship TargetMode="External" Target="https://www.legis.iowa.gov/docs/ico/chapter/123.49.pdf" Type="http://schemas.openxmlformats.org/officeDocument/2006/relationships/hyperlink" Id="rId95"/>
    <Relationship TargetMode="External" Target="https://www.legis.iowa.gov/docs/ico/chapter/123.30.pdf" Type="http://schemas.openxmlformats.org/officeDocument/2006/relationships/hyperlink" Id="rId96"/>
    <Relationship TargetMode="External" Target="https://www.legis.iowa.gov/docs/ico/chapter/123.pdf" Type="http://schemas.openxmlformats.org/officeDocument/2006/relationships/hyperlink" Id="rId97"/>
    <Relationship TargetMode="External" Target="https://www.legis.iowa.gov/docs/ico/chapter/123.30.pdf" Type="http://schemas.openxmlformats.org/officeDocument/2006/relationships/hyperlink" Id="rId98"/>
    <Relationship TargetMode="External" Target="https://www.legis.iowa.gov/docs/ico/chapter/123.33.pdf" Type="http://schemas.openxmlformats.org/officeDocument/2006/relationships/hyperlink" Id="rId99"/>
    <Relationship TargetMode="External" Target="https://www.legis.iowa.gov/docs/ico/chapter/123.49.pdf" Type="http://schemas.openxmlformats.org/officeDocument/2006/relationships/hyperlink" Id="rId100"/>
    <Relationship TargetMode="External" Target="https://www.legis.iowa.gov/docs/ico/chapter/123.49.pdf" Type="http://schemas.openxmlformats.org/officeDocument/2006/relationships/hyperlink" Id="rId101"/>
    <Relationship TargetMode="External" Target="https://www.legis.iowa.gov/docs/ico/chapter/123.4.pdf" Type="http://schemas.openxmlformats.org/officeDocument/2006/relationships/hyperlink" Id="rId102"/>
    <Relationship TargetMode="External" Target="https://www.legis.iowa.gov/docs/ico/chapter/123.10.pdf" Type="http://schemas.openxmlformats.org/officeDocument/2006/relationships/hyperlink" Id="rId103"/>
    <Relationship TargetMode="External" Target="https://www.legis.iowa.gov/docs/ico/chapter/123.4.pdf" Type="http://schemas.openxmlformats.org/officeDocument/2006/relationships/hyperlink" Id="rId104"/>
    <Relationship TargetMode="External" Target="https://www.legis.iowa.gov/docs/ico/chapter/123.10.pdf" Type="http://schemas.openxmlformats.org/officeDocument/2006/relationships/hyperlink" Id="rId105"/>
    <Relationship TargetMode="External" Target="https://www.legis.iowa.gov/docs/ico/chapter/123.10.pdf" Type="http://schemas.openxmlformats.org/officeDocument/2006/relationships/hyperlink" Id="rId106"/>
    <Relationship TargetMode="External" Target="https://www.legis.iowa.gov/docs/ico/chapter/626.pdf" Type="http://schemas.openxmlformats.org/officeDocument/2006/relationships/hyperlink" Id="rId107"/>
    <Relationship TargetMode="External" Target="https://www.legis.iowa.gov/docs/ico/chapter/554.9102.pdf" Type="http://schemas.openxmlformats.org/officeDocument/2006/relationships/hyperlink" Id="rId108"/>
    <Relationship TargetMode="External" Target="https://www.legis.iowa.gov/docs/ico/chapter/554.9102.pdf" Type="http://schemas.openxmlformats.org/officeDocument/2006/relationships/hyperlink" Id="rId109"/>
    <Relationship TargetMode="External" Target="https://www.legis.iowa.gov/docs/ico/chapter/554.pdf" Type="http://schemas.openxmlformats.org/officeDocument/2006/relationships/hyperlink" Id="rId110"/>
    <Relationship TargetMode="External" Target="https://www.legis.iowa.gov/docs/ico/chapter/123.pdf" Type="http://schemas.openxmlformats.org/officeDocument/2006/relationships/hyperlink" Id="rId111"/>
    <Relationship TargetMode="External" Target="https://www.legis.iowa.gov/docs/ico/chapter/626.pdf" Type="http://schemas.openxmlformats.org/officeDocument/2006/relationships/hyperlink" Id="rId112"/>
    <Relationship TargetMode="External" Target="https://www.legis.iowa.gov/docs/ico/chapter/626.pdf" Type="http://schemas.openxmlformats.org/officeDocument/2006/relationships/hyperlink" Id="rId113"/>
    <Relationship TargetMode="External" Target="https://www.legis.iowa.gov/docs/ico/chapter/123.pdf" Type="http://schemas.openxmlformats.org/officeDocument/2006/relationships/hyperlink" Id="rId114"/>
    <Relationship TargetMode="External" Target="https://www.legis.iowa.gov/docs/ico/chapter/123.4.pdf" Type="http://schemas.openxmlformats.org/officeDocument/2006/relationships/hyperlink" Id="rId115"/>
    <Relationship TargetMode="External" Target="https://www.legis.iowa.gov/docs/ico/chapter/123.10.pdf" Type="http://schemas.openxmlformats.org/officeDocument/2006/relationships/hyperlink" Id="rId116"/>
    <Relationship TargetMode="External" Target="https://www.legis.iowa.gov/docs/ico/chapter/123.38.pdf" Type="http://schemas.openxmlformats.org/officeDocument/2006/relationships/hyperlink" Id="rId117"/>
    <Relationship TargetMode="External" Target="https://www.legis.iowa.gov/docs/ico/chapter/123.4.pdf" Type="http://schemas.openxmlformats.org/officeDocument/2006/relationships/hyperlink" Id="rId118"/>
    <Relationship TargetMode="External" Target="https://www.legis.iowa.gov/docs/ico/chapter/123.24.pdf" Type="http://schemas.openxmlformats.org/officeDocument/2006/relationships/hyperlink" Id="rId119"/>
    <Relationship TargetMode="External" Target="https://www.legis.iowa.gov/docs/ico/chapter/123.35.pdf" Type="http://schemas.openxmlformats.org/officeDocument/2006/relationships/hyperlink" Id="rId120"/>
    <Relationship TargetMode="External" Target="https://www.legis.iowa.gov/docs/ico/chapter/123.4.pdf" Type="http://schemas.openxmlformats.org/officeDocument/2006/relationships/hyperlink" Id="rId121"/>
    <Relationship TargetMode="External" Target="https://www.legis.iowa.gov/docs/ico/chapter/123.49.pdf" Type="http://schemas.openxmlformats.org/officeDocument/2006/relationships/hyperlink" Id="rId122"/>
    <Relationship TargetMode="External" Target="https://www.legis.iowa.gov/docs/ico/chapter/123.4.pdf" Type="http://schemas.openxmlformats.org/officeDocument/2006/relationships/hyperlink" Id="rId123"/>
    <Relationship TargetMode="External" Target="https://www.legis.iowa.gov/docs/ico/chapter/123.39.pdf" Type="http://schemas.openxmlformats.org/officeDocument/2006/relationships/hyperlink" Id="rId124"/>
    <Relationship TargetMode="External" Target="https://www.legis.iowa.gov/docs/ico/chapter/123.4.pdf" Type="http://schemas.openxmlformats.org/officeDocument/2006/relationships/hyperlink" Id="rId125"/>
    <Relationship TargetMode="External" Target="https://www.legis.iowa.gov/docs/ico/chapter/123.32.pdf" Type="http://schemas.openxmlformats.org/officeDocument/2006/relationships/hyperlink" Id="rId126"/>
    <Relationship TargetMode="External" Target="https://www.legis.iowa.gov/docs/ico/chapter/123.39.pdf" Type="http://schemas.openxmlformats.org/officeDocument/2006/relationships/hyperlink" Id="rId1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