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REINSTATEMENT AFTER DISCIPLINARY ACTION</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653—26.1</w:t>
      </w:r>
      <w:r>
        <w:rPr>
          <w:rFonts w:ascii="Times New Roman" w:hAnsi="Times New Roman"/>
          <w:b/>
          <w:i w:val="false"/>
          <w:color w:val="000000"/>
          <w:sz w:val="22"/>
        </w:rPr>
        <w:t xml:space="preserve">(17A) </w:t>
      </w:r>
      <w:r>
        <w:rPr>
          <w:rFonts w:ascii="Times New Roman" w:hAnsi="Times New Roman"/>
          <w:b/>
          <w:i w:val="false"/>
          <w:color w:val="000000"/>
          <w:sz w:val="22"/>
        </w:rPr>
        <w:t xml:space="preserve">Reinstatement. </w:t>
      </w:r>
      <w:r>
        <w:rPr>
          <w:rFonts w:ascii="Times New Roman" w:hAnsi="Times New Roman"/>
          <w:b w:val="false"/>
          <w:i w:val="false"/>
          <w:color w:val="000000"/>
          <w:sz w:val="22"/>
        </w:rPr>
        <w:t>Any person whose license has not been permanently suspended or revoked by the board may apply to the board for reinstatement in accordance with the terms and conditions of the order of revocation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license was voluntarily surrendered, an initial application for reinstatement may not be made until one year has elapsed from the date of the board order or the date of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26.1(2)</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shall be initiated by the respondent, who shall file with the board an application for the reinstatement of the respondent’s license. Such application will be docketed in the original case in which the license was revoked, suspended, or relinquished. All proceedings upon the petition for reinstatement are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shall allege facts that, if established, will be sufficient to enable the board to determine that the basis for the revocation or suspension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26.1(4)</w:t>
      </w:r>
      <w:r>
        <w:rPr>
          <w:rFonts w:ascii="Times New Roman" w:hAnsi="Times New Roman"/>
          <w:b w:val="false"/>
          <w:i w:val="false"/>
          <w:color w:val="000000"/>
          <w:sz w:val="22"/>
        </w:rPr>
        <w:t> </w:t>
      </w:r>
      <w:r>
        <w:rPr>
          <w:rFonts w:ascii="Times New Roman" w:hAnsi="Times New Roman"/>
          <w:b w:val="false"/>
          <w:i w:val="false"/>
          <w:color w:val="000000"/>
          <w:sz w:val="22"/>
        </w:rPr>
        <w:t>At the board’s discretion, the board and the licensee may agree to enter into a reinstatement order by agreement, in lieu of a formal reinstatement hearing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w:t>
      </w:r>
      <w:r>
        <w:rPr>
          <w:rFonts w:ascii="Times New Roman" w:hAnsi="Times New Roman"/>
          <w:b w:val="false"/>
          <w:i w:val="false"/>
          <w:color w:val="000000"/>
          <w:sz w:val="22"/>
        </w:rPr>
        <w:t> </w:t>
      </w:r>
      <w:r>
        <w:rPr>
          <w:rFonts w:ascii="Times New Roman" w:hAnsi="Times New Roman"/>
          <w:b w:val="false"/>
          <w:i w:val="false"/>
          <w:color w:val="000000"/>
          <w:sz w:val="22"/>
        </w:rPr>
        <w:t xml:space="preserve">A reinstatement order must be based upon the affirmative vote of a quorum of the board. The reinstatement order is public information pursuant to </w:t>
      </w:r>
      <w:hyperlink r:id="rId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seeking reinstatement under this rule whose license became inactive during the period of suspension or revocation is also required to complete the reactivation process set forth in rule </w:t>
      </w:r>
      <w:hyperlink r:id="rId6">
        <w:r>
          <w:rPr>
            <w:rStyle w:val="Hyperlink"/>
            <w:rFonts w:ascii="Times New Roman" w:hAnsi="Times New Roman"/>
            <w:b w:val="false"/>
            <w:i w:val="false"/>
            <w:color w:val="000000"/>
            <w:sz w:val="22"/>
          </w:rPr>
          <w:t>653—9.13</w:t>
        </w:r>
      </w:hyperlink>
      <w:r>
        <w:rPr>
          <w:rFonts w:ascii="Times New Roman" w:hAnsi="Times New Roman"/>
          <w:b w:val="false"/>
          <w:i w:val="false"/>
          <w:color w:val="000000"/>
          <w:sz w:val="22"/>
        </w:rPr>
        <w:t xml:space="preserve">(147,148) or </w:t>
      </w:r>
      <w:hyperlink r:id="rId7">
        <w:r>
          <w:rPr>
            <w:rStyle w:val="Hyperlink"/>
            <w:rFonts w:ascii="Times New Roman" w:hAnsi="Times New Roman"/>
            <w:b w:val="false"/>
            <w:i w:val="false"/>
            <w:color w:val="000000"/>
            <w:sz w:val="22"/>
          </w:rPr>
          <w:t>653—9.14</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9122C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9122C</w:t>
      </w:r>
      <w:r>
        <w:rPr>
          <w:rFonts w:ascii="Times New Roman" w:hAnsi="Times New Roman"/>
          <w:b w:val="false"/>
          <w:i w:val="false"/>
          <w:color w:val="000000"/>
          <w:sz w:val="21"/>
        </w:rPr>
        <w:t xml:space="preserve"> (Notice ARC 8694C, IAB 12/25/24)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06.pdf" Type="http://schemas.openxmlformats.org/officeDocument/2006/relationships/hyperlink" Id="rId5"/>
    <Relationship TargetMode="External" Target="https://www.legis.iowa.gov/docs/iac/rule/653.9.13.pdf" Type="http://schemas.openxmlformats.org/officeDocument/2006/relationships/hyperlink" Id="rId6"/>
    <Relationship TargetMode="External" Target="https://www.legis.iowa.gov/docs/iac/rule/653.9.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