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24</w:t>
      </w:r>
    </w:p>
    <w:p>
      <w:pPr>
        <w:spacing w:before="0" w:after="0"/>
        <w:ind w:left="120"/>
        <w:jc w:val="center"/>
      </w:pPr>
      <w:r>
        <w:rPr>
          <w:rFonts w:ascii="Times New Roman" w:hAnsi="Times New Roman"/>
          <w:b w:val="false"/>
          <w:i w:val="false"/>
          <w:color w:val="000000"/>
          <w:sz w:val="21"/>
        </w:rPr>
        <w:t>COMPLAINTS AND INVESTIGATIONS</w:t>
      </w:r>
    </w:p>
    <w:p>
      <w:pPr>
        <w:spacing w:before="0" w:after="0"/>
        <w:ind w:left="120"/>
        <w:jc w:val="center"/>
      </w:pPr>
      <w:r>
        <w:rPr>
          <w:rFonts w:ascii="Times New Roman" w:hAnsi="Times New Roman"/>
          <w:b w:val="false"/>
          <w:i w:val="false"/>
          <w:color w:val="000000"/>
          <w:sz w:val="14"/>
        </w:rPr>
        <w:t>[Prior to 7/19/06, see 653—Chapter 12]</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5/21/30</w:t>
      </w:r>
    </w:p>
    <w:p>
      <w:pPr>
        <w:spacing w:before="0" w:after="0"/>
        <w:ind w:left="120"/>
        <w:jc w:val="both"/>
      </w:pPr>
      <w:r>
        <w:rPr>
          <w:rFonts w:ascii="Times New Roman" w:hAnsi="Times New Roman"/>
          <w:b/>
          <w:i w:val="false"/>
          <w:color w:val="000000"/>
          <w:sz w:val="22"/>
        </w:rPr>
        <w:t>653—24.1</w:t>
      </w:r>
      <w:r>
        <w:rPr>
          <w:rFonts w:ascii="Times New Roman" w:hAnsi="Times New Roman"/>
          <w:b/>
          <w:i w:val="false"/>
          <w:color w:val="000000"/>
          <w:sz w:val="22"/>
        </w:rPr>
        <w:t xml:space="preserve">(17A,147,148,272C) </w:t>
      </w:r>
      <w:r>
        <w:rPr>
          <w:rFonts w:ascii="Times New Roman" w:hAnsi="Times New Roman"/>
          <w:b/>
          <w:i w:val="false"/>
          <w:color w:val="000000"/>
          <w:sz w:val="22"/>
        </w:rPr>
        <w:t xml:space="preserve">Complaints.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24.1(1)</w:t>
      </w:r>
      <w:r>
        <w:rPr>
          <w:rFonts w:ascii="Times New Roman" w:hAnsi="Times New Roman"/>
          <w:b w:val="false"/>
          <w:i w:val="false"/>
          <w:color w:val="000000"/>
          <w:sz w:val="22"/>
        </w:rPr>
        <w:t> </w:t>
      </w:r>
      <w:r>
        <w:rPr>
          <w:rFonts w:ascii="Times New Roman" w:hAnsi="Times New Roman"/>
          <w:b w:val="false"/>
          <w:i/>
          <w:color w:val="000000"/>
          <w:sz w:val="22"/>
        </w:rPr>
        <w:t xml:space="preserve">Form and content of the complaint. </w:t>
      </w:r>
      <w:r>
        <w:rPr>
          <w:rFonts w:ascii="Times New Roman" w:hAnsi="Times New Roman"/>
          <w:b w:val="false"/>
          <w:i w:val="false"/>
          <w:color w:val="000000"/>
          <w:sz w:val="22"/>
        </w:rPr>
        <w:t>A complaint will be made in the form deemed acceptable by the board. The complaint will contain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full name, address and telephone number of the complainant, except in instances in which the identity of the complainant is unknown.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full name, address and telephone number, if known, of the licensee.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clear and accurate statement of the facts that apprises the board of the allegations against the licensee.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24.1(2)</w:t>
      </w:r>
      <w:r>
        <w:rPr>
          <w:rFonts w:ascii="Times New Roman" w:hAnsi="Times New Roman"/>
          <w:b w:val="false"/>
          <w:i w:val="false"/>
          <w:color w:val="000000"/>
          <w:sz w:val="22"/>
        </w:rPr>
        <w:t> </w:t>
      </w:r>
      <w:r>
        <w:rPr>
          <w:rFonts w:ascii="Times New Roman" w:hAnsi="Times New Roman"/>
          <w:b w:val="false"/>
          <w:i/>
          <w:color w:val="000000"/>
          <w:sz w:val="22"/>
        </w:rPr>
        <w:t xml:space="preserve">Place and time of filing of the complaint. </w:t>
      </w:r>
      <w:r>
        <w:rPr>
          <w:rFonts w:ascii="Times New Roman" w:hAnsi="Times New Roman"/>
          <w:b w:val="false"/>
          <w:i w:val="false"/>
          <w:color w:val="000000"/>
          <w:sz w:val="22"/>
        </w:rPr>
        <w:t>A written complaint may be delivered in person, by mail or electronically to the board office. The office address is Iowa Board of Medicine, 6200 Park Avenue, Suite 100, Des Moines, Iowa 50321.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24.1(3)</w:t>
      </w:r>
      <w:r>
        <w:rPr>
          <w:rFonts w:ascii="Times New Roman" w:hAnsi="Times New Roman"/>
          <w:b w:val="false"/>
          <w:i w:val="false"/>
          <w:color w:val="000000"/>
          <w:sz w:val="22"/>
        </w:rPr>
        <w:t> </w:t>
      </w:r>
      <w:r>
        <w:rPr>
          <w:rFonts w:ascii="Times New Roman" w:hAnsi="Times New Roman"/>
          <w:b w:val="false"/>
          <w:i/>
          <w:color w:val="000000"/>
          <w:sz w:val="22"/>
        </w:rPr>
        <w:t xml:space="preserve">Immunity. </w:t>
      </w:r>
      <w:r>
        <w:rPr>
          <w:rFonts w:ascii="Times New Roman" w:hAnsi="Times New Roman"/>
          <w:b w:val="false"/>
          <w:i w:val="false"/>
          <w:color w:val="000000"/>
          <w:sz w:val="22"/>
        </w:rPr>
        <w:t>A person is not civilly liable as a result of filing a report or complaint with the board or peer review committee, or for the disclosure to the board or its agents or employees, whether or not pursuant to a subpoena of records, documents, testimony or other forms of information that constitute privileged matter concerning a recipient of health care services or some other person, in connection with proceedings of a peer review committee, or in connection with duties of the board. However, such immunity from civil liability is not applicable if such act is done with malice.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9121C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653—24.2</w:t>
      </w:r>
      <w:r>
        <w:rPr>
          <w:rFonts w:ascii="Times New Roman" w:hAnsi="Times New Roman"/>
          <w:b/>
          <w:i w:val="false"/>
          <w:color w:val="000000"/>
          <w:sz w:val="22"/>
        </w:rPr>
        <w:t xml:space="preserve">(17A,147,148,272C) </w:t>
      </w:r>
      <w:r>
        <w:rPr>
          <w:rFonts w:ascii="Times New Roman" w:hAnsi="Times New Roman"/>
          <w:b/>
          <w:i w:val="false"/>
          <w:color w:val="000000"/>
          <w:sz w:val="22"/>
        </w:rPr>
        <w:t xml:space="preserve">Processing complaints and investigations.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24.2(1)</w:t>
      </w:r>
      <w:r>
        <w:rPr>
          <w:rFonts w:ascii="Times New Roman" w:hAnsi="Times New Roman"/>
          <w:b w:val="false"/>
          <w:i w:val="false"/>
          <w:color w:val="000000"/>
          <w:sz w:val="22"/>
        </w:rPr>
        <w:t> </w:t>
      </w:r>
      <w:r>
        <w:rPr>
          <w:rFonts w:ascii="Times New Roman" w:hAnsi="Times New Roman"/>
          <w:b w:val="false"/>
          <w:i/>
          <w:color w:val="000000"/>
          <w:sz w:val="22"/>
        </w:rPr>
        <w:t xml:space="preserve">Complaint and investigative files. </w:t>
      </w:r>
      <w:r>
        <w:rPr>
          <w:rFonts w:ascii="Times New Roman" w:hAnsi="Times New Roman"/>
          <w:b w:val="false"/>
          <w:i w:val="false"/>
          <w:color w:val="000000"/>
          <w:sz w:val="22"/>
        </w:rPr>
        <w:t>Board staff shall open a complaint file upon receiving a complaint or other appropriate information or upon a motion of the board. A complaint file becomes an investigative file once an investigation is ordered.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board does not have legal jurisdiction over a matter or the complaint does not allege a violation of rule or law, staff may close the complaint file administratively without investigation or review by the board. All other complaints will be sent to the complaint review committee.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complaint file will be labeled as such and is not a public record. A complaint file will become part of the licensee’s history with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Any time an investigation is ordered, a complaint file will be relabeled as an investigative file. An investigative file is not a public record. The investigative file will become part of the licensee’s history with the board and may be shared with another licensing authority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24.2(2)</w:t>
      </w:r>
      <w:r>
        <w:rPr>
          <w:rFonts w:ascii="Times New Roman" w:hAnsi="Times New Roman"/>
          <w:b w:val="false"/>
          <w:i w:val="false"/>
          <w:color w:val="000000"/>
          <w:sz w:val="22"/>
        </w:rPr>
        <w:t> </w:t>
      </w:r>
      <w:r>
        <w:rPr>
          <w:rFonts w:ascii="Times New Roman" w:hAnsi="Times New Roman"/>
          <w:b w:val="false"/>
          <w:i/>
          <w:color w:val="000000"/>
          <w:sz w:val="22"/>
        </w:rPr>
        <w:t xml:space="preserve">Complaint review committee.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complaint review committee includes the medical advisor, executive director, general counsel for the board, and chief investigator.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complaint review committee reviews each complaint the board has received and takes one of the following four actions: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Close a complaint file administratively for any of these reasons: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board does not have legal jurisdiction over the matter;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case involves a matter that the board is already addressing;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case is appropriate for referral to the board’s Iowa physician health program, and investigation is not warranted.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Recommend to the board’s screening committee that the board close the complaint file without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Request a letter of explanation from the physician, medical records, or both.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Request a full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complaint review committee uses the following to guide its decision making: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Serious public safety issues include but are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clear violation of the laws and rules governing the practice of medicine, genetic counseling, or acupuncture, as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Significant investigative history that raises serious concerns about the licensee’s ability to practice in a competent and safe manner;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Significant investigative history that raises serious concerns that the licensee has engaged in a pattern of unprofessional conduct or disruptive behavior that interferes with, or has the potential to interfere with, patient care or the effective functioning of health care staff;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Serious quality of care cases that include severe patient harm, a pattern of inappropriate treatment, or serious medical errors;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Serious criminal conduct;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Substance abuse or other impairment that significantly impacts the licensee’s ability to practice the licensee’s respective practice in a competent and safe manner;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Sexual misconduct;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Severe unprofessional conduct or disruptive behavior;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Disciplinary action by another regulatory authority;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Unlicensed practice of medicine, genetic counseling, or acupuncture.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Less serious public safety issues include but are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Less serious quality of care cases that do not involve serious patient harm and are isolated occurrences rather than a part of a pattern of inappropriate treatment or serious medical errors;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single incident involving a billing dispute;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single incident involving rude behavior or personality conflicts;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single incident of communication problems;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Poor recordkeeping practices that are not repeated or ongoing in nature and do not significantly affect patient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board may at any time reopen for review and reconsideration any complaint or investigative file that has been closed administratively.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complaint review committee will indicate high-priority cases when they are assigned for investigation. The committee may provide recommendations to investigators regarding the nature of investigation to be completed. The medical advisor will provide medical advice to the investigators as part of the investigative process.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24.2(3)</w:t>
      </w:r>
      <w:r>
        <w:rPr>
          <w:rFonts w:ascii="Times New Roman" w:hAnsi="Times New Roman"/>
          <w:b w:val="false"/>
          <w:i w:val="false"/>
          <w:color w:val="000000"/>
          <w:sz w:val="22"/>
        </w:rPr>
        <w:t> </w:t>
      </w:r>
      <w:r>
        <w:rPr>
          <w:rFonts w:ascii="Times New Roman" w:hAnsi="Times New Roman"/>
          <w:b w:val="false"/>
          <w:i/>
          <w:color w:val="000000"/>
          <w:sz w:val="22"/>
        </w:rPr>
        <w:t xml:space="preserve">Screening committee. </w:t>
      </w:r>
      <w:r>
        <w:rPr>
          <w:rFonts w:ascii="Times New Roman" w:hAnsi="Times New Roman"/>
          <w:b w:val="false"/>
          <w:i w:val="false"/>
          <w:color w:val="000000"/>
          <w:sz w:val="22"/>
        </w:rPr>
        <w:t>The screening committee will review the recommendations of the complaint review committee and take one of the following actions: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Recommend to the board that the complaint file be closed without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Request a letter of explanation from the physician, medical records, or both.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Review the materials acquired pursuant to paragraph </w:t>
      </w:r>
      <w:hyperlink r:id="rId5">
        <w:r>
          <w:rPr>
            <w:rStyle w:val="Hyperlink"/>
            <w:rFonts w:ascii="Times New Roman" w:hAnsi="Times New Roman"/>
            <w:b w:val="false"/>
            <w:i w:val="false"/>
            <w:color w:val="000000"/>
            <w:sz w:val="22"/>
          </w:rPr>
          <w:t>24.2(3)</w:t>
        </w:r>
      </w:hyperlink>
      <w:r>
        <w:rPr>
          <w:rFonts w:ascii="Times New Roman" w:hAnsi="Times New Roman"/>
          <w:b w:val="false"/>
          <w:i/>
          <w:color w:val="000000"/>
          <w:sz w:val="22"/>
        </w:rPr>
        <w:t>“b”</w:t>
      </w:r>
      <w:r>
        <w:rPr>
          <w:rFonts w:ascii="Times New Roman" w:hAnsi="Times New Roman"/>
          <w:b w:val="false"/>
          <w:i w:val="false"/>
          <w:color w:val="000000"/>
          <w:sz w:val="22"/>
        </w:rPr>
        <w:t xml:space="preserve"> and recommend to the board that the investigative file be closed, with or without issuing an informal letter.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Request an investigation for board review.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24.2(4)</w:t>
      </w:r>
      <w:r>
        <w:rPr>
          <w:rFonts w:ascii="Times New Roman" w:hAnsi="Times New Roman"/>
          <w:b w:val="false"/>
          <w:i w:val="false"/>
          <w:color w:val="000000"/>
          <w:sz w:val="22"/>
        </w:rPr>
        <w:t> </w:t>
      </w:r>
      <w:r>
        <w:rPr>
          <w:rFonts w:ascii="Times New Roman" w:hAnsi="Times New Roman"/>
          <w:b w:val="false"/>
          <w:i/>
          <w:color w:val="000000"/>
          <w:sz w:val="22"/>
        </w:rPr>
        <w:t xml:space="preserve">Board action.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board will review the screening committee’s recommendations and take one of the following actions: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Close the complaint file without investigation. The board will notify the complainant.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Close the investigative file that has been partially or fully investigated, with or without issuing an informal letter. The board will notify the complainant and the licensee of the decision.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Request further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board may reconsider and reopen a closed complaint or investigative file at a later date should it be deemed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24.2(5)</w:t>
      </w:r>
      <w:r>
        <w:rPr>
          <w:rFonts w:ascii="Times New Roman" w:hAnsi="Times New Roman"/>
          <w:b w:val="false"/>
          <w:i w:val="false"/>
          <w:color w:val="000000"/>
          <w:sz w:val="22"/>
        </w:rPr>
        <w:t> </w:t>
      </w:r>
      <w:r>
        <w:rPr>
          <w:rFonts w:ascii="Times New Roman" w:hAnsi="Times New Roman"/>
          <w:b w:val="false"/>
          <w:i/>
          <w:color w:val="000000"/>
          <w:sz w:val="22"/>
        </w:rPr>
        <w:t xml:space="preserve">Investigations.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Complainants. </w:t>
      </w:r>
      <w:r>
        <w:rPr>
          <w:rFonts w:ascii="Times New Roman" w:hAnsi="Times New Roman"/>
          <w:b w:val="false"/>
          <w:i w:val="false"/>
          <w:color w:val="000000"/>
          <w:sz w:val="22"/>
        </w:rPr>
        <w:t>At the time an investigation is opened, the complainant will be sent a letter with the name of the investigator assigned to the case and the investigator’s contact information and a statement encouraging the complainant to submit any further information that would assist the investigator with the case.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complainant may request a meeting with the investigator prior to the completion of the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complainant will be informed of the confidentiality of the investigative information as provided in subrule </w:t>
      </w:r>
      <w:hyperlink r:id="rId6">
        <w:r>
          <w:rPr>
            <w:rStyle w:val="Hyperlink"/>
            <w:rFonts w:ascii="Times New Roman" w:hAnsi="Times New Roman"/>
            <w:b w:val="false"/>
            <w:i w:val="false"/>
            <w:color w:val="000000"/>
            <w:sz w:val="22"/>
          </w:rPr>
          <w:t>24.2(8)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complainant may contact the chief investigator with questions or concerns about the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Investigative subpoenas.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Issuance of an investigative subpoena. The executive director or a designee may, upon the written request of a board investigator or upon the executive director’s own initiative, subpoena books, papers, records, and other real evidence necessary for a board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Request for subpoena. A written request for a subpoena will contain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name and address of the person to whom the subpoena will be directed;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specific description of the books, papers, records or other real evidence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 explanation of why the evidence sought to be subpoenaed is necessary for the board to determine whether it should institute a contested case proceeding;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In the case of a subpoena request for mental health records, confirmation that the conditions described in subparagraph </w:t>
      </w:r>
      <w:hyperlink r:id="rId7">
        <w:r>
          <w:rPr>
            <w:rStyle w:val="Hyperlink"/>
            <w:rFonts w:ascii="Times New Roman" w:hAnsi="Times New Roman"/>
            <w:b w:val="false"/>
            <w:i w:val="false"/>
            <w:color w:val="000000"/>
            <w:sz w:val="22"/>
          </w:rPr>
          <w:t>24.2(5)</w:t>
        </w:r>
      </w:hyperlink>
      <w:r>
        <w:rPr>
          <w:rFonts w:ascii="Times New Roman" w:hAnsi="Times New Roman"/>
          <w:b w:val="false"/>
          <w:i/>
          <w:color w:val="000000"/>
          <w:sz w:val="22"/>
        </w:rPr>
        <w:t>“b”</w:t>
      </w:r>
      <w:r>
        <w:rPr>
          <w:rFonts w:ascii="Times New Roman" w:hAnsi="Times New Roman"/>
          <w:b w:val="false"/>
          <w:i w:val="false"/>
          <w:color w:val="000000"/>
          <w:sz w:val="22"/>
        </w:rPr>
        <w:t>(4) have been satisfied.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Contents of subpoena. Each subpoena will contain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name and address of the person to whom the subpoena is directed;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description of the books, papers, records or other real evidence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date, time and location for production or inspection and copying;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time within which a motion to quash or modify the subpoena must be filed;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signature, address and telephone number of the executive director or designee;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date of issuance;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 return of service attached to the subpoena.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Subpoena for mental health records. A subpoena for mental health records shall meet the requirements of subparagraph </w:t>
      </w:r>
      <w:hyperlink r:id="rId8">
        <w:r>
          <w:rPr>
            <w:rStyle w:val="Hyperlink"/>
            <w:rFonts w:ascii="Times New Roman" w:hAnsi="Times New Roman"/>
            <w:b w:val="false"/>
            <w:i w:val="false"/>
            <w:color w:val="000000"/>
            <w:sz w:val="22"/>
          </w:rPr>
          <w:t>24.2(5)</w:t>
        </w:r>
      </w:hyperlink>
      <w:r>
        <w:rPr>
          <w:rFonts w:ascii="Times New Roman" w:hAnsi="Times New Roman"/>
          <w:b w:val="false"/>
          <w:i/>
          <w:color w:val="000000"/>
          <w:sz w:val="22"/>
        </w:rPr>
        <w:t>“b”</w:t>
      </w:r>
      <w:r>
        <w:rPr>
          <w:rFonts w:ascii="Times New Roman" w:hAnsi="Times New Roman"/>
          <w:b w:val="false"/>
          <w:i w:val="false"/>
          <w:color w:val="000000"/>
          <w:sz w:val="22"/>
        </w:rPr>
        <w:t>(3). The board shall document the following prior to the issuance of a subpoena for mental health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nature of the complaint reasonably justifies the issuance of a subpoena;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Adequate safeguards have been established to prevent unauthorized disclosure;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 express statutory mandate, articulated public policy, or other recognizable public interest favors access;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 attempt was made to notify the patient and to secure an authorization from the patient for release of the records at issue.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Motion to quash or modify subpoena.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Any person who is adversely affected by compliance with the subpoena and desires to challenge the subpoena must file with the board a motion to quash or modify the subpoena within 14 days of service, or before if the time specified is less than 14 days. The motion shall describe the legal reasons why the subpoena should be quashed or modified and may be accompanied by legal briefs or factual affidavits.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Hearing on motion. Upon receipt of a timely motion to quash or modify a subpoena, the board may request an administrative law judge to hold a hearing and issue a decision, or the board may conduct a hearing and issue a decision. Oral argument may be scheduled at the discretion of the administrative law judge or the board. The administrative law judge or the board may quash or modify the subpoena, deny the motion, or issue an appropriate protective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Appeal of decision on motion. A person who is aggrieved by a ruling of an administrative law judge and who desires to challenge that ruling must appeal the ruling to the board by serving on the board’s executive director, either in person or by certified mail, a notice of appeal within ten days after service of the decision of the administrative law judge.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Final agency action. If the person contesting the subpoena is not the person under investigation, the board’s decision is final for purposes of judicial review. If the person contesting the subpoena is the person under investigation, the board’s decision is not final for purposes of judicial review until either the person is notified that the investigation has been concluded with no formal action or there is a final decision in the contested case.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Licensee response. </w:t>
      </w:r>
      <w:r>
        <w:rPr>
          <w:rFonts w:ascii="Times New Roman" w:hAnsi="Times New Roman"/>
          <w:b w:val="false"/>
          <w:i w:val="false"/>
          <w:color w:val="000000"/>
          <w:sz w:val="22"/>
        </w:rPr>
        <w:t>Before a contested case begins, the investigator will attempt to reach the licensee at the licensee’s listed address to allow the licensee to respond to the allegations. If the licensee cannot be found there, reasonable efforts to locate the licensee will be made. If the licensee cannot be located, the investigation will proceed without the licensee’s response, and the findings will be sent to the board. Contact and response from the licensee can be in writing or through a personal interview.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Investigative report. </w:t>
      </w:r>
      <w:r>
        <w:rPr>
          <w:rFonts w:ascii="Times New Roman" w:hAnsi="Times New Roman"/>
          <w:b w:val="false"/>
          <w:i w:val="false"/>
          <w:color w:val="000000"/>
          <w:sz w:val="22"/>
        </w:rPr>
        <w:t>Upon completion of an investigation, the investigator will prepare a report for the board’s consideration. The report will set forth the information obtained in the course of the investigation and the response, if any, of the licensee.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Board review. </w:t>
      </w:r>
      <w:r>
        <w:rPr>
          <w:rFonts w:ascii="Times New Roman" w:hAnsi="Times New Roman"/>
          <w:b w:val="false"/>
          <w:i w:val="false"/>
          <w:color w:val="000000"/>
          <w:sz w:val="22"/>
        </w:rPr>
        <w:t>The board will review the investigative record, discuss the case, and take one of the following actions: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Close the investigative file without action. The board will notify the complainant and the licensee of the decision. The board may reconsider and reopen a closed complaint or investigative file at a later date should it be deemed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Request further investigation, including peer review.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Meet with the licensee. The board or the licensee may request that the licensee appear before the board to discuss a pending investigation. The board has discretion on whether to grant a licensee’s request for an appearance. By electing to participate in the appearance, the licensee waives any objection to a board member’s both participating in the appearance and later participating as a decision maker in a contested case proceeding on the grounds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Board members have personally investigated the case,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Board members have combined investigative and adjudicative functions.</w:t>
      </w:r>
    </w:p>
    <w:p>
      <w:pPr>
        <w:spacing w:before="0" w:after="0"/>
        <w:ind w:left="120"/>
        <w:jc w:val="both"/>
      </w:pPr>
      <w:r>
        <w:rPr>
          <w:rFonts w:ascii="Times New Roman" w:hAnsi="Times New Roman"/>
          <w:b w:val="false"/>
          <w:i w:val="false"/>
          <w:color w:val="000000"/>
          <w:sz w:val="22"/>
        </w:rPr>
        <w:t>If the executive director or director of legal affairs participates in the appearance, the licensee further waives any objection to having the executive director or director of legal affairs assist the board in the contested case proceeding.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Issue an informal letter of warning or education. If the board concludes that there is not probable cause to file disciplinary charges, the board may issue the licensee an informal letter of warning or education. A letter of warning or education is an informal communication between the board and the licensee and is not formal disciplinary action or a public document.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File a statement of charges. If the board determines that there is probable cause for taking formal disciplinary action against a licensee, the board shall file a statement of charges, thereby commencing a contested case proceeding.</w:t>
      </w:r>
    </w:p>
    <w:p>
      <w:pPr>
        <w:spacing w:before="0" w:after="0"/>
        <w:ind w:left="120"/>
        <w:jc w:val="both"/>
      </w:pPr>
      <w:r>
        <w:rPr>
          <w:rFonts w:ascii="Times New Roman" w:hAnsi="Times New Roman"/>
          <w:b w:val="false"/>
          <w:i w:val="false"/>
          <w:color w:val="000000"/>
          <w:sz w:val="22"/>
        </w:rPr>
        <w:t>Prior to the initiation of formal disciplinary charges in a case involving the supervision of a physician assistant, the board shall forward a copy of the investigative report to the board of physician assistants for its advice and recommendation. The board of physician assistants shall respond within six weeks or sooner if requested by the board of medicine. The board of medicine shall consider the advice and recommendation of the board of physician assistants.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Request a combined statement of charges and settlement agreement. At the board’s discretion, the board and the licensee may enter into a combined statement of charges and settlement agreement to resolve a contested case proceeding.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24.2(6)</w:t>
      </w:r>
      <w:r>
        <w:rPr>
          <w:rFonts w:ascii="Times New Roman" w:hAnsi="Times New Roman"/>
          <w:b w:val="false"/>
          <w:i w:val="false"/>
          <w:color w:val="000000"/>
          <w:sz w:val="22"/>
        </w:rPr>
        <w:t> </w:t>
      </w:r>
      <w:r>
        <w:rPr>
          <w:rFonts w:ascii="Times New Roman" w:hAnsi="Times New Roman"/>
          <w:b w:val="false"/>
          <w:i/>
          <w:color w:val="000000"/>
          <w:sz w:val="22"/>
        </w:rPr>
        <w:t xml:space="preserve">Licensee-patient privileged communications. </w:t>
      </w:r>
      <w:r>
        <w:rPr>
          <w:rFonts w:ascii="Times New Roman" w:hAnsi="Times New Roman"/>
          <w:b w:val="false"/>
          <w:i w:val="false"/>
          <w:color w:val="000000"/>
          <w:sz w:val="22"/>
        </w:rPr>
        <w:t xml:space="preserve">The privilege of confidential communication between the recipient and the provider of health care services do not extend to afford confidentiality to medical records maintained by or on behalf of the subject of an investigation by the board, or records maintained by any public or private agency or organization, which relate to a matter under investigation by the board. No provision of Iowa Code section </w:t>
      </w:r>
      <w:hyperlink r:id="rId9">
        <w:r>
          <w:rPr>
            <w:rStyle w:val="Hyperlink"/>
            <w:rFonts w:ascii="Times New Roman" w:hAnsi="Times New Roman"/>
            <w:b w:val="false"/>
            <w:i w:val="false"/>
            <w:color w:val="000000"/>
            <w:sz w:val="22"/>
          </w:rPr>
          <w:t>622.10</w:t>
        </w:r>
      </w:hyperlink>
      <w:r>
        <w:rPr>
          <w:rFonts w:ascii="Times New Roman" w:hAnsi="Times New Roman"/>
          <w:b w:val="false"/>
          <w:i w:val="false"/>
          <w:color w:val="000000"/>
          <w:sz w:val="22"/>
        </w:rPr>
        <w:t>, except as it relates to an attorney of the licensee, or the stenographer or confidential clerk of the licensee’s attorney, shall be interpreted to restrict access by the board or its staff or agents to information sought in an investigation being conducted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24.2(7)</w:t>
      </w:r>
      <w:r>
        <w:rPr>
          <w:rFonts w:ascii="Times New Roman" w:hAnsi="Times New Roman"/>
          <w:b w:val="false"/>
          <w:i w:val="false"/>
          <w:color w:val="000000"/>
          <w:sz w:val="22"/>
        </w:rPr>
        <w:t> </w:t>
      </w:r>
      <w:r>
        <w:rPr>
          <w:rFonts w:ascii="Times New Roman" w:hAnsi="Times New Roman"/>
          <w:b w:val="false"/>
          <w:i/>
          <w:color w:val="000000"/>
          <w:sz w:val="22"/>
        </w:rPr>
        <w:t xml:space="preserve">Investigation of malpractice lawsuits, judgments and settlements. </w:t>
      </w:r>
      <w:r>
        <w:rPr>
          <w:rFonts w:ascii="Times New Roman" w:hAnsi="Times New Roman"/>
          <w:b w:val="false"/>
          <w:i w:val="false"/>
          <w:color w:val="000000"/>
          <w:sz w:val="22"/>
        </w:rPr>
        <w:t>The board will review reports received from insurance carriers and licensees involving malpractice lawsuits, adverse judgments, and settlements. The board may choose to investigate such reports in the same manner as is prescribed in these rules for the review and investigation of other complaints to determine whether there is probable cause under applicable statutes or administrative rules for licensee discipline.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24.2(8)</w:t>
      </w:r>
      <w:r>
        <w:rPr>
          <w:rFonts w:ascii="Times New Roman" w:hAnsi="Times New Roman"/>
          <w:b w:val="false"/>
          <w:i w:val="false"/>
          <w:color w:val="000000"/>
          <w:sz w:val="22"/>
        </w:rPr>
        <w:t> </w:t>
      </w:r>
      <w:r>
        <w:rPr>
          <w:rFonts w:ascii="Times New Roman" w:hAnsi="Times New Roman"/>
          <w:b w:val="false"/>
          <w:i/>
          <w:color w:val="000000"/>
          <w:sz w:val="22"/>
        </w:rPr>
        <w:t xml:space="preserve">Confidentiality of investigative information. </w:t>
      </w:r>
      <w:r>
        <w:rPr>
          <w:rFonts w:ascii="Times New Roman" w:hAnsi="Times New Roman"/>
          <w:b w:val="false"/>
          <w:i w:val="false"/>
          <w:color w:val="000000"/>
          <w:sz w:val="22"/>
        </w:rPr>
        <w:t>All investigative information gathered by the board or its employees or agents, including peer reviewers, is confidential and privileged. The information cannot be obtained through discovery, subpoena, or other legal means except by the licensee and the board. This information is not admissible in any judicial or administrative proceeding, except in cases involving licensee discipline. However, the board’s statement of charges, settlement agreements, or decisions in disciplinary proceedings are public records.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9121C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653—24.3</w:t>
      </w:r>
      <w:r>
        <w:rPr>
          <w:rFonts w:ascii="Times New Roman" w:hAnsi="Times New Roman"/>
          <w:b/>
          <w:i w:val="false"/>
          <w:color w:val="000000"/>
          <w:sz w:val="22"/>
        </w:rPr>
        <w:t xml:space="preserve">(272C) </w:t>
      </w:r>
      <w:r>
        <w:rPr>
          <w:rFonts w:ascii="Times New Roman" w:hAnsi="Times New Roman"/>
          <w:b/>
          <w:i w:val="false"/>
          <w:color w:val="000000"/>
          <w:sz w:val="22"/>
        </w:rPr>
        <w:t xml:space="preserve">Peer review. </w:t>
      </w:r>
      <w:r>
        <w:rPr>
          <w:rFonts w:ascii="Times New Roman" w:hAnsi="Times New Roman"/>
          <w:b w:val="false"/>
          <w:i w:val="false"/>
          <w:color w:val="000000"/>
          <w:sz w:val="22"/>
        </w:rPr>
        <w:t>The board may assign any case to peer review for evaluation of the professional services rendered by the licensee and report to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24.3(1)</w:t>
      </w:r>
      <w:r>
        <w:rPr>
          <w:rFonts w:ascii="Times New Roman" w:hAnsi="Times New Roman"/>
          <w:b w:val="false"/>
          <w:i w:val="false"/>
          <w:color w:val="000000"/>
          <w:sz w:val="22"/>
        </w:rPr>
        <w:t> </w:t>
      </w:r>
      <w:r>
        <w:rPr>
          <w:rFonts w:ascii="Times New Roman" w:hAnsi="Times New Roman"/>
          <w:b w:val="false"/>
          <w:i/>
          <w:color w:val="000000"/>
          <w:sz w:val="22"/>
        </w:rPr>
        <w:t xml:space="preserve">Registration of peer reviewers. </w:t>
      </w:r>
      <w:r>
        <w:rPr>
          <w:rFonts w:ascii="Times New Roman" w:hAnsi="Times New Roman"/>
          <w:b w:val="false"/>
          <w:i w:val="false"/>
          <w:color w:val="000000"/>
          <w:sz w:val="22"/>
        </w:rPr>
        <w:t>The board may register peer reviewers by maintaining a list of peer reviewers in the board office. The board will enter into a contract with peer reviewers to provide peer review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24.3(2)</w:t>
      </w:r>
      <w:r>
        <w:rPr>
          <w:rFonts w:ascii="Times New Roman" w:hAnsi="Times New Roman"/>
          <w:b w:val="false"/>
          <w:i w:val="false"/>
          <w:color w:val="000000"/>
          <w:sz w:val="22"/>
        </w:rPr>
        <w:t> </w:t>
      </w:r>
      <w:r>
        <w:rPr>
          <w:rFonts w:ascii="Times New Roman" w:hAnsi="Times New Roman"/>
          <w:b w:val="false"/>
          <w:i/>
          <w:color w:val="000000"/>
          <w:sz w:val="22"/>
        </w:rPr>
        <w:t xml:space="preserve">Case referral for peer review. </w:t>
      </w:r>
      <w:r>
        <w:rPr>
          <w:rFonts w:ascii="Times New Roman" w:hAnsi="Times New Roman"/>
          <w:b w:val="false"/>
          <w:i w:val="false"/>
          <w:color w:val="000000"/>
          <w:sz w:val="22"/>
        </w:rPr>
        <w:t>The board or board staff will determine which peer reviewer(s) will review a case and what investigative information is referred to a peer reviewer.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24.3(3)</w:t>
      </w:r>
      <w:r>
        <w:rPr>
          <w:rFonts w:ascii="Times New Roman" w:hAnsi="Times New Roman"/>
          <w:b w:val="false"/>
          <w:i w:val="false"/>
          <w:color w:val="000000"/>
          <w:sz w:val="22"/>
        </w:rPr>
        <w:t> </w:t>
      </w:r>
      <w:r>
        <w:rPr>
          <w:rFonts w:ascii="Times New Roman" w:hAnsi="Times New Roman"/>
          <w:b w:val="false"/>
          <w:i/>
          <w:color w:val="000000"/>
          <w:sz w:val="22"/>
        </w:rPr>
        <w:t xml:space="preserve">Board assistance to peer reviewers. </w:t>
      </w:r>
      <w:r>
        <w:rPr>
          <w:rFonts w:ascii="Times New Roman" w:hAnsi="Times New Roman"/>
          <w:b w:val="false"/>
          <w:i w:val="false"/>
          <w:color w:val="000000"/>
          <w:sz w:val="22"/>
        </w:rPr>
        <w:t>The board may provide investigatory and related services to assist the peer reviewer(s).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24.3(4)</w:t>
      </w:r>
      <w:r>
        <w:rPr>
          <w:rFonts w:ascii="Times New Roman" w:hAnsi="Times New Roman"/>
          <w:b w:val="false"/>
          <w:i w:val="false"/>
          <w:color w:val="000000"/>
          <w:sz w:val="22"/>
        </w:rPr>
        <w:t> </w:t>
      </w:r>
      <w:r>
        <w:rPr>
          <w:rFonts w:ascii="Times New Roman" w:hAnsi="Times New Roman"/>
          <w:b w:val="false"/>
          <w:i/>
          <w:color w:val="000000"/>
          <w:sz w:val="22"/>
        </w:rPr>
        <w:t xml:space="preserve">Confidentiality. </w:t>
      </w:r>
      <w:r>
        <w:rPr>
          <w:rFonts w:ascii="Times New Roman" w:hAnsi="Times New Roman"/>
          <w:b w:val="false"/>
          <w:i w:val="false"/>
          <w:color w:val="000000"/>
          <w:sz w:val="22"/>
        </w:rPr>
        <w:t xml:space="preserve">Peer reviewers shall observe the confidentiality requirements imposed by Iowa Code section </w:t>
      </w:r>
      <w:hyperlink r:id="rId10">
        <w:r>
          <w:rPr>
            <w:rStyle w:val="Hyperlink"/>
            <w:rFonts w:ascii="Times New Roman" w:hAnsi="Times New Roman"/>
            <w:b w:val="false"/>
            <w:i w:val="false"/>
            <w:color w:val="000000"/>
            <w:sz w:val="22"/>
          </w:rPr>
          <w:t>272C.6(4)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24.3(5)</w:t>
      </w:r>
      <w:r>
        <w:rPr>
          <w:rFonts w:ascii="Times New Roman" w:hAnsi="Times New Roman"/>
          <w:b w:val="false"/>
          <w:i w:val="false"/>
          <w:color w:val="000000"/>
          <w:sz w:val="22"/>
        </w:rPr>
        <w:t> </w:t>
      </w:r>
      <w:r>
        <w:rPr>
          <w:rFonts w:ascii="Times New Roman" w:hAnsi="Times New Roman"/>
          <w:b w:val="false"/>
          <w:i/>
          <w:color w:val="000000"/>
          <w:sz w:val="22"/>
        </w:rPr>
        <w:t xml:space="preserve">Liability, defense and indemnity. </w:t>
      </w:r>
      <w:r>
        <w:rPr>
          <w:rFonts w:ascii="Times New Roman" w:hAnsi="Times New Roman"/>
          <w:b w:val="false"/>
          <w:i w:val="false"/>
          <w:color w:val="000000"/>
          <w:sz w:val="22"/>
        </w:rPr>
        <w:t>Peer reviewers are not liable for acts, omissions or decisions made in connection with service on the peer review committee. However, such immunity from civil liability does not apply if such act is done with malice. Peer reviewers are to be provided a defense by the state for civil lawsuits related to board peer review and will be indemnified for all such judgments or settlements as provided by applicable law and administrative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24.3(6)</w:t>
      </w:r>
      <w:r>
        <w:rPr>
          <w:rFonts w:ascii="Times New Roman" w:hAnsi="Times New Roman"/>
          <w:b w:val="false"/>
          <w:i w:val="false"/>
          <w:color w:val="000000"/>
          <w:sz w:val="22"/>
        </w:rPr>
        <w:t> </w:t>
      </w:r>
      <w:r>
        <w:rPr>
          <w:rFonts w:ascii="Times New Roman" w:hAnsi="Times New Roman"/>
          <w:b w:val="false"/>
          <w:i/>
          <w:color w:val="000000"/>
          <w:sz w:val="22"/>
        </w:rPr>
        <w:t xml:space="preserve">Written peer review report. </w:t>
      </w:r>
      <w:r>
        <w:rPr>
          <w:rFonts w:ascii="Times New Roman" w:hAnsi="Times New Roman"/>
          <w:b w:val="false"/>
          <w:i w:val="false"/>
          <w:color w:val="000000"/>
          <w:sz w:val="22"/>
        </w:rPr>
        <w:t>Peer reviewers will review the information provided by the board and provide a written report to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written report will contain a statement of facts, an opinion of the peer reviewers whether the licensee violated the standard of care, and the rationale supporting the opinion.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written report shall be signed by all peer reviewers concurring in the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the peer reviewers find that they are unable to review the case, the investigative information shall be returned to the board.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9121C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653—24.4</w:t>
      </w:r>
      <w:r>
        <w:rPr>
          <w:rFonts w:ascii="Times New Roman" w:hAnsi="Times New Roman"/>
          <w:b/>
          <w:i w:val="false"/>
          <w:color w:val="000000"/>
          <w:sz w:val="22"/>
        </w:rPr>
        <w:t xml:space="preserve">(272C) </w:t>
      </w:r>
      <w:r>
        <w:rPr>
          <w:rFonts w:ascii="Times New Roman" w:hAnsi="Times New Roman"/>
          <w:b/>
          <w:i w:val="false"/>
          <w:color w:val="000000"/>
          <w:sz w:val="22"/>
        </w:rPr>
        <w:t xml:space="preserve">Order for physical, mental, or clinical competency evaluation. </w:t>
      </w:r>
      <w:r>
        <w:rPr>
          <w:rFonts w:ascii="Times New Roman" w:hAnsi="Times New Roman"/>
          <w:b w:val="false"/>
          <w:i w:val="false"/>
          <w:color w:val="000000"/>
          <w:sz w:val="22"/>
        </w:rPr>
        <w:t xml:space="preserve">All licensees will undergo a physical, mental, or clinical evaluation as directed by the board. This evaluation may be ordered if there is probable cause of a mental, physical, or behavioral condition, including professional misconduct, disruptive behavior, or substance abuse. The evaluation may include various assessments for disruptive behavior or neuropsychological, psychiatric, sexual misconduct, or substance abuse evaluations. Clinical competency evaluations can be ordered if there is probable cause of professional incompetence. All evaluation orders and related information are confidential according to Iowa Code section </w:t>
      </w:r>
      <w:hyperlink r:id="rId11">
        <w:r>
          <w:rPr>
            <w:rStyle w:val="Hyperlink"/>
            <w:rFonts w:ascii="Times New Roman" w:hAnsi="Times New Roman"/>
            <w:b w:val="false"/>
            <w:i w:val="false"/>
            <w:color w:val="000000"/>
            <w:sz w:val="22"/>
          </w:rPr>
          <w:t>272C.6(4)</w:t>
        </w:r>
      </w:hyperlink>
      <w:r>
        <w:rPr>
          <w:rFonts w:ascii="Times New Roman" w:hAnsi="Times New Roman"/>
          <w:b w:val="false"/>
          <w:i w:val="false"/>
          <w:color w:val="000000"/>
          <w:sz w:val="22"/>
        </w:rPr>
        <w:t>. The licensee will bear the cost, and orders will be delivered via personal service or certified mail, return receipt requested.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24.4(1)</w:t>
      </w:r>
      <w:r>
        <w:rPr>
          <w:rFonts w:ascii="Times New Roman" w:hAnsi="Times New Roman"/>
          <w:b w:val="false"/>
          <w:i w:val="false"/>
          <w:color w:val="000000"/>
          <w:sz w:val="22"/>
        </w:rPr>
        <w:t> </w:t>
      </w:r>
      <w:r>
        <w:rPr>
          <w:rFonts w:ascii="Times New Roman" w:hAnsi="Times New Roman"/>
          <w:b w:val="false"/>
          <w:i/>
          <w:color w:val="000000"/>
          <w:sz w:val="22"/>
        </w:rPr>
        <w:t xml:space="preserve">Content of order. </w:t>
      </w:r>
      <w:r>
        <w:rPr>
          <w:rFonts w:ascii="Times New Roman" w:hAnsi="Times New Roman"/>
          <w:b w:val="false"/>
          <w:i w:val="false"/>
          <w:color w:val="000000"/>
          <w:sz w:val="22"/>
        </w:rPr>
        <w:t>A board order shall include the following items: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Probable cause. </w:t>
      </w:r>
      <w:r>
        <w:rPr>
          <w:rFonts w:ascii="Times New Roman" w:hAnsi="Times New Roman"/>
          <w:b w:val="false"/>
          <w:i w:val="false"/>
          <w:color w:val="000000"/>
          <w:sz w:val="22"/>
        </w:rPr>
        <w:t>A showing by the board that there is probable cause to order the licensee to complete an evaluation.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Nature of evaluation or screening. </w:t>
      </w:r>
      <w:r>
        <w:rPr>
          <w:rFonts w:ascii="Times New Roman" w:hAnsi="Times New Roman"/>
          <w:b w:val="false"/>
          <w:i w:val="false"/>
          <w:color w:val="000000"/>
          <w:sz w:val="22"/>
        </w:rPr>
        <w:t>A description of the type of evaluation or screening that the licensee needs to complete.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Evaluation facility. </w:t>
      </w:r>
      <w:r>
        <w:rPr>
          <w:rFonts w:ascii="Times New Roman" w:hAnsi="Times New Roman"/>
          <w:b w:val="false"/>
          <w:i w:val="false"/>
          <w:color w:val="000000"/>
          <w:sz w:val="22"/>
        </w:rPr>
        <w:t>The name and address of the examiner or evaluation or treatment or screening facility that the board has identified to perform the evaluation.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Scheduling the evaluation. </w:t>
      </w:r>
      <w:r>
        <w:rPr>
          <w:rFonts w:ascii="Times New Roman" w:hAnsi="Times New Roman"/>
          <w:b w:val="false"/>
          <w:i w:val="false"/>
          <w:color w:val="000000"/>
          <w:sz w:val="22"/>
        </w:rPr>
        <w:t>The amount of time in which the licensee must schedule the required evaluation.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Completion of the evaluation. </w:t>
      </w:r>
      <w:r>
        <w:rPr>
          <w:rFonts w:ascii="Times New Roman" w:hAnsi="Times New Roman"/>
          <w:b w:val="false"/>
          <w:i w:val="false"/>
          <w:color w:val="000000"/>
          <w:sz w:val="22"/>
        </w:rPr>
        <w:t>The amount of time in which the licensee must complete the evaluation.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Board release. </w:t>
      </w:r>
      <w:r>
        <w:rPr>
          <w:rFonts w:ascii="Times New Roman" w:hAnsi="Times New Roman"/>
          <w:b w:val="false"/>
          <w:i w:val="false"/>
          <w:color w:val="000000"/>
          <w:sz w:val="22"/>
        </w:rPr>
        <w:t>A requirement that the licensee sign all necessary releases for the board to communicate with the evaluator or the evaluation or treatment program and to obtain any reports generated by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24.4(2)</w:t>
      </w:r>
      <w:r>
        <w:rPr>
          <w:rFonts w:ascii="Times New Roman" w:hAnsi="Times New Roman"/>
          <w:b w:val="false"/>
          <w:i w:val="false"/>
          <w:color w:val="000000"/>
          <w:sz w:val="22"/>
        </w:rPr>
        <w:t> </w:t>
      </w:r>
      <w:r>
        <w:rPr>
          <w:rFonts w:ascii="Times New Roman" w:hAnsi="Times New Roman"/>
          <w:b w:val="false"/>
          <w:i/>
          <w:color w:val="000000"/>
          <w:sz w:val="22"/>
        </w:rPr>
        <w:t xml:space="preserve">Alternatives. </w:t>
      </w:r>
      <w:r>
        <w:rPr>
          <w:rFonts w:ascii="Times New Roman" w:hAnsi="Times New Roman"/>
          <w:b w:val="false"/>
          <w:i w:val="false"/>
          <w:color w:val="000000"/>
          <w:sz w:val="22"/>
        </w:rPr>
        <w:t>Following issuance of the evaluation order, the licensee may request additional time to schedule or complete the evaluation or to request the board to approve an alternative evaluator or treatment facility. The board will determine whether to grant such a request.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24.4(3)</w:t>
      </w:r>
      <w:r>
        <w:rPr>
          <w:rFonts w:ascii="Times New Roman" w:hAnsi="Times New Roman"/>
          <w:b w:val="false"/>
          <w:i w:val="false"/>
          <w:color w:val="000000"/>
          <w:sz w:val="22"/>
        </w:rPr>
        <w:t> </w:t>
      </w:r>
      <w:r>
        <w:rPr>
          <w:rFonts w:ascii="Times New Roman" w:hAnsi="Times New Roman"/>
          <w:b w:val="false"/>
          <w:i/>
          <w:color w:val="000000"/>
          <w:sz w:val="22"/>
        </w:rPr>
        <w:t xml:space="preserve">Objection to order. </w:t>
      </w:r>
      <w:r>
        <w:rPr>
          <w:rFonts w:ascii="Times New Roman" w:hAnsi="Times New Roman"/>
          <w:b w:val="false"/>
          <w:i w:val="false"/>
          <w:color w:val="000000"/>
          <w:sz w:val="22"/>
        </w:rPr>
        <w:t xml:space="preserve">A licensee who is the subject of a board evaluation order and who objects to the order may file a request for hearing. The request shall be filed within 14 days of issuance of the evaluation order. A licensee who fails to timely file a request for hearing to object to an evaluation order waives any future objection to the evaluation order in the event formal disciplinary charges are filed for failure to comply with the evaluation order or on any other grounds. The request for hearing shall specifically identify the factual and legal issues upon which the licensee bases the objection. The hearing will be considered a contested case proceeding and will be governed by the provisions of </w:t>
      </w:r>
      <w:hyperlink r:id="rId12">
        <w:r>
          <w:rPr>
            <w:rStyle w:val="Hyperlink"/>
            <w:rFonts w:ascii="Times New Roman" w:hAnsi="Times New Roman"/>
            <w:b w:val="false"/>
            <w:i w:val="false"/>
            <w:color w:val="000000"/>
            <w:sz w:val="22"/>
          </w:rPr>
          <w:t>653—Chapter 25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24.4(4)</w:t>
      </w:r>
      <w:r>
        <w:rPr>
          <w:rFonts w:ascii="Times New Roman" w:hAnsi="Times New Roman"/>
          <w:b w:val="false"/>
          <w:i w:val="false"/>
          <w:color w:val="000000"/>
          <w:sz w:val="22"/>
        </w:rPr>
        <w:t> </w:t>
      </w:r>
      <w:r>
        <w:rPr>
          <w:rFonts w:ascii="Times New Roman" w:hAnsi="Times New Roman"/>
          <w:b w:val="false"/>
          <w:i/>
          <w:color w:val="000000"/>
          <w:sz w:val="22"/>
        </w:rPr>
        <w:t xml:space="preserve">Closed hearing. </w:t>
      </w:r>
      <w:r>
        <w:rPr>
          <w:rFonts w:ascii="Times New Roman" w:hAnsi="Times New Roman"/>
          <w:b w:val="false"/>
          <w:i w:val="false"/>
          <w:color w:val="000000"/>
          <w:sz w:val="22"/>
        </w:rPr>
        <w:t xml:space="preserve">Any hearing on an objection to the board order will be closed pursuant to Iowa Code section </w:t>
      </w:r>
      <w:hyperlink r:id="rId13">
        <w:r>
          <w:rPr>
            <w:rStyle w:val="Hyperlink"/>
            <w:rFonts w:ascii="Times New Roman" w:hAnsi="Times New Roman"/>
            <w:b w:val="false"/>
            <w:i w:val="false"/>
            <w:color w:val="000000"/>
            <w:sz w:val="22"/>
          </w:rPr>
          <w:t>272C.6(1)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24.4(5)</w:t>
      </w:r>
      <w:r>
        <w:rPr>
          <w:rFonts w:ascii="Times New Roman" w:hAnsi="Times New Roman"/>
          <w:b w:val="false"/>
          <w:i w:val="false"/>
          <w:color w:val="000000"/>
          <w:sz w:val="22"/>
        </w:rPr>
        <w:t> </w:t>
      </w:r>
      <w:r>
        <w:rPr>
          <w:rFonts w:ascii="Times New Roman" w:hAnsi="Times New Roman"/>
          <w:b w:val="false"/>
          <w:i/>
          <w:color w:val="000000"/>
          <w:sz w:val="22"/>
        </w:rPr>
        <w:t xml:space="preserve">Order and reports confidential. </w:t>
      </w:r>
      <w:r>
        <w:rPr>
          <w:rFonts w:ascii="Times New Roman" w:hAnsi="Times New Roman"/>
          <w:b w:val="false"/>
          <w:i w:val="false"/>
          <w:color w:val="000000"/>
          <w:sz w:val="22"/>
        </w:rPr>
        <w:t xml:space="preserve">An evaluation order and any subsequent evaluation reports issued in the course of a board investigation are confidential investigative information pursuant to Iowa Code section </w:t>
      </w:r>
      <w:hyperlink r:id="rId14">
        <w:r>
          <w:rPr>
            <w:rStyle w:val="Hyperlink"/>
            <w:rFonts w:ascii="Times New Roman" w:hAnsi="Times New Roman"/>
            <w:b w:val="false"/>
            <w:i w:val="false"/>
            <w:color w:val="000000"/>
            <w:sz w:val="22"/>
          </w:rPr>
          <w:t>272C.6(4)</w:t>
        </w:r>
      </w:hyperlink>
      <w:r>
        <w:rPr>
          <w:rFonts w:ascii="Times New Roman" w:hAnsi="Times New Roman"/>
          <w:b w:val="false"/>
          <w:i w:val="false"/>
          <w:color w:val="000000"/>
          <w:sz w:val="22"/>
        </w:rPr>
        <w:t xml:space="preserve">. However, all investigative information related to an evaluation order will be provided to the licensee in the event the licensee files an objection under subrule </w:t>
      </w:r>
      <w:hyperlink r:id="rId15">
        <w:r>
          <w:rPr>
            <w:rStyle w:val="Hyperlink"/>
            <w:rFonts w:ascii="Times New Roman" w:hAnsi="Times New Roman"/>
            <w:b w:val="false"/>
            <w:i w:val="false"/>
            <w:color w:val="000000"/>
            <w:sz w:val="22"/>
          </w:rPr>
          <w:t>24.4(3)</w:t>
        </w:r>
      </w:hyperlink>
      <w:r>
        <w:rPr>
          <w:rFonts w:ascii="Times New Roman" w:hAnsi="Times New Roman"/>
          <w:b w:val="false"/>
          <w:i w:val="false"/>
          <w:color w:val="000000"/>
          <w:sz w:val="22"/>
        </w:rPr>
        <w:t>, in order to allow the licensee an opportunity to prepare for hearing.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24.4(6)</w:t>
      </w:r>
      <w:r>
        <w:rPr>
          <w:rFonts w:ascii="Times New Roman" w:hAnsi="Times New Roman"/>
          <w:b w:val="false"/>
          <w:i w:val="false"/>
          <w:color w:val="000000"/>
          <w:sz w:val="22"/>
        </w:rPr>
        <w:t> </w:t>
      </w:r>
      <w:r>
        <w:rPr>
          <w:rFonts w:ascii="Times New Roman" w:hAnsi="Times New Roman"/>
          <w:b w:val="false"/>
          <w:i/>
          <w:color w:val="000000"/>
          <w:sz w:val="22"/>
        </w:rPr>
        <w:t xml:space="preserve">Admissibility. </w:t>
      </w:r>
      <w:r>
        <w:rPr>
          <w:rFonts w:ascii="Times New Roman" w:hAnsi="Times New Roman"/>
          <w:b w:val="false"/>
          <w:i w:val="false"/>
          <w:color w:val="000000"/>
          <w:sz w:val="22"/>
        </w:rPr>
        <w:t>In the event the licensee submits to evaluation and subsequent proceedings are held before the board, all objections will be waived as to the admissibility of the licensee’s testimony or evaluation reports on the grounds that they constitute privileged communication. The medical testimony or examination reports will not be used against the licensee in any proceeding other than one relating to licensee discipline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24.4(7)</w:t>
      </w:r>
      <w:r>
        <w:rPr>
          <w:rFonts w:ascii="Times New Roman" w:hAnsi="Times New Roman"/>
          <w:b w:val="false"/>
          <w:i w:val="false"/>
          <w:color w:val="000000"/>
          <w:sz w:val="22"/>
        </w:rPr>
        <w:t> </w:t>
      </w:r>
      <w:r>
        <w:rPr>
          <w:rFonts w:ascii="Times New Roman" w:hAnsi="Times New Roman"/>
          <w:b w:val="false"/>
          <w:i/>
          <w:color w:val="000000"/>
          <w:sz w:val="22"/>
        </w:rPr>
        <w:t xml:space="preserve">Failure to submit. </w:t>
      </w:r>
      <w:r>
        <w:rPr>
          <w:rFonts w:ascii="Times New Roman" w:hAnsi="Times New Roman"/>
          <w:b w:val="false"/>
          <w:i w:val="false"/>
          <w:color w:val="000000"/>
          <w:sz w:val="22"/>
        </w:rPr>
        <w:t>Failure of a licensee to submit to a board-ordered mental, physical, clinical competency or substance abuse evaluation or alcohol or drug screening constitutes a violation of the rules of the board and is grounds for disciplinary action.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9121C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chapters </w:t>
      </w:r>
      <w:hyperlink r:id="rId16">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17">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xml:space="preserve">, </w:t>
      </w:r>
      <w:hyperlink r:id="rId18">
        <w:r>
          <w:rPr>
            <w:rStyle w:val="Hyperlink"/>
            <w:rFonts w:ascii="Times New Roman" w:hAnsi="Times New Roman"/>
            <w:b w:val="false"/>
            <w:i w:val="false"/>
            <w:color w:val="000000"/>
            <w:sz w:val="22"/>
          </w:rPr>
          <w:t>148</w:t>
        </w:r>
      </w:hyperlink>
      <w:r>
        <w:rPr>
          <w:rFonts w:ascii="Times New Roman" w:hAnsi="Times New Roman"/>
          <w:b w:val="false"/>
          <w:i w:val="false"/>
          <w:color w:val="000000"/>
          <w:sz w:val="22"/>
        </w:rPr>
        <w:t xml:space="preserve">, and </w:t>
      </w:r>
      <w:hyperlink r:id="rId19">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2/5/79, Notice 11/29/78—published 2/21/79, effective 3/29/79]</w:t>
      </w:r>
    </w:p>
    <w:p>
      <w:pPr>
        <w:spacing w:before="0" w:after="0"/>
        <w:ind w:left="120"/>
        <w:jc w:val="center"/>
      </w:pPr>
      <w:r>
        <w:rPr>
          <w:rFonts w:ascii="Times New Roman" w:hAnsi="Times New Roman"/>
          <w:b w:val="false"/>
          <w:i w:val="false"/>
          <w:color w:val="000000"/>
          <w:sz w:val="21"/>
        </w:rPr>
        <w:t>[Filed without Notice 2/14/80—published 3/5/80, effective 4/9/80]</w:t>
      </w:r>
    </w:p>
    <w:p>
      <w:pPr>
        <w:spacing w:before="0" w:after="0"/>
        <w:ind w:left="120"/>
        <w:jc w:val="center"/>
      </w:pPr>
      <w:r>
        <w:rPr>
          <w:rFonts w:ascii="Times New Roman" w:hAnsi="Times New Roman"/>
          <w:b w:val="false"/>
          <w:i w:val="false"/>
          <w:color w:val="000000"/>
          <w:sz w:val="21"/>
        </w:rPr>
        <w:t>[Filed 10/10/80, Notice 8/20/80—published 10/29/80, effective 12/3/80]</w:t>
      </w:r>
    </w:p>
    <w:p>
      <w:pPr>
        <w:spacing w:before="0" w:after="0"/>
        <w:ind w:left="120"/>
        <w:jc w:val="center"/>
      </w:pPr>
      <w:r>
        <w:rPr>
          <w:rFonts w:ascii="Times New Roman" w:hAnsi="Times New Roman"/>
          <w:b w:val="false"/>
          <w:i w:val="false"/>
          <w:color w:val="000000"/>
          <w:sz w:val="21"/>
        </w:rPr>
        <w:t>[Filed 6/14/82, Notice 4/28/82—published 7/7/82, effective 8/11/82]</w:t>
      </w:r>
    </w:p>
    <w:p>
      <w:pPr>
        <w:spacing w:before="0" w:after="0"/>
        <w:ind w:left="120"/>
        <w:jc w:val="center"/>
      </w:pPr>
      <w:r>
        <w:rPr>
          <w:rFonts w:ascii="Times New Roman" w:hAnsi="Times New Roman"/>
          <w:b w:val="false"/>
          <w:i w:val="false"/>
          <w:color w:val="000000"/>
          <w:sz w:val="21"/>
        </w:rPr>
        <w:t>[Filed 9/9/83, Notice 8/3/83—published 9/28/83, effective 11/2/83]</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3/9/84, Notice 1/18/84—published 3/28/84, effective 5/2/84]</w:t>
      </w:r>
    </w:p>
    <w:p>
      <w:pPr>
        <w:spacing w:before="0" w:after="0"/>
        <w:ind w:left="120"/>
        <w:jc w:val="center"/>
      </w:pPr>
      <w:r>
        <w:rPr>
          <w:rFonts w:ascii="Times New Roman" w:hAnsi="Times New Roman"/>
          <w:b w:val="false"/>
          <w:i w:val="false"/>
          <w:color w:val="000000"/>
          <w:sz w:val="21"/>
        </w:rPr>
        <w:t>[Filed 10/19/84, Notice 8/29/84—published 11/7/84, effective 12/12/84]</w:t>
      </w:r>
      <w:r>
        <w:rPr>
          <w:rFonts w:ascii="Times New Roman" w:hAnsi="Times New Roman"/>
          <w:b w:val="false"/>
          <w:i w:val="false"/>
          <w:color w:val="000000"/>
          <w:sz w:val="10"/>
        </w:rPr>
        <w:t>2</w:t>
      </w:r>
    </w:p>
    <w:p>
      <w:pPr>
        <w:spacing w:before="0" w:after="0"/>
        <w:ind w:left="120"/>
        <w:jc w:val="center"/>
      </w:pPr>
      <w:r>
        <w:rPr>
          <w:rFonts w:ascii="Times New Roman" w:hAnsi="Times New Roman"/>
          <w:b w:val="false"/>
          <w:i w:val="false"/>
          <w:color w:val="000000"/>
          <w:sz w:val="21"/>
        </w:rPr>
        <w:t>[Filed emergency 4/15/88—published 5/4/88, effective 4/15/88]</w:t>
      </w:r>
    </w:p>
    <w:p>
      <w:pPr>
        <w:spacing w:before="0" w:after="0"/>
        <w:ind w:left="120"/>
        <w:jc w:val="center"/>
      </w:pPr>
      <w:r>
        <w:rPr>
          <w:rFonts w:ascii="Times New Roman" w:hAnsi="Times New Roman"/>
          <w:b w:val="false"/>
          <w:i w:val="false"/>
          <w:color w:val="000000"/>
          <w:sz w:val="21"/>
        </w:rPr>
        <w:t>[Filed 10/28/88, Notice 6/15/88—published 11/16/88, effective 12/21/88]</w:t>
      </w:r>
    </w:p>
    <w:p>
      <w:pPr>
        <w:spacing w:before="0" w:after="0"/>
        <w:ind w:left="120"/>
        <w:jc w:val="center"/>
      </w:pPr>
      <w:r>
        <w:rPr>
          <w:rFonts w:ascii="Times New Roman" w:hAnsi="Times New Roman"/>
          <w:b w:val="false"/>
          <w:i w:val="false"/>
          <w:color w:val="000000"/>
          <w:sz w:val="21"/>
        </w:rPr>
        <w:t>[Filed 7/21/89, Notice 5/17/89—published 8/9/89, effective 9/13/89]</w:t>
      </w:r>
    </w:p>
    <w:p>
      <w:pPr>
        <w:spacing w:before="0" w:after="0"/>
        <w:ind w:left="120"/>
        <w:jc w:val="center"/>
      </w:pPr>
      <w:r>
        <w:rPr>
          <w:rFonts w:ascii="Times New Roman" w:hAnsi="Times New Roman"/>
          <w:b w:val="false"/>
          <w:i w:val="false"/>
          <w:color w:val="000000"/>
          <w:sz w:val="21"/>
        </w:rPr>
        <w:t>[Filed 8/2/90, Notice 5/30/90—published 8/22/90, effective 9/26/90]</w:t>
      </w:r>
    </w:p>
    <w:p>
      <w:pPr>
        <w:spacing w:before="0" w:after="0"/>
        <w:ind w:left="120"/>
        <w:jc w:val="center"/>
      </w:pPr>
      <w:r>
        <w:rPr>
          <w:rFonts w:ascii="Times New Roman" w:hAnsi="Times New Roman"/>
          <w:b w:val="false"/>
          <w:i w:val="false"/>
          <w:color w:val="000000"/>
          <w:sz w:val="21"/>
        </w:rPr>
        <w:t>[Filed 4/1/94, Notice 2/2/94—published 4/27/94, effective 6/1/94]</w:t>
      </w:r>
    </w:p>
    <w:p>
      <w:pPr>
        <w:spacing w:before="0" w:after="0"/>
        <w:ind w:left="120"/>
        <w:jc w:val="center"/>
      </w:pPr>
      <w:r>
        <w:rPr>
          <w:rFonts w:ascii="Times New Roman" w:hAnsi="Times New Roman"/>
          <w:b w:val="false"/>
          <w:i w:val="false"/>
          <w:color w:val="000000"/>
          <w:sz w:val="21"/>
        </w:rPr>
        <w:t>[Filed 11/3/94, Notice 9/28/94—published 11/23/94, effective 12/28/94]</w:t>
      </w:r>
    </w:p>
    <w:p>
      <w:pPr>
        <w:spacing w:before="0" w:after="0"/>
        <w:ind w:left="120"/>
        <w:jc w:val="center"/>
      </w:pPr>
      <w:r>
        <w:rPr>
          <w:rFonts w:ascii="Times New Roman" w:hAnsi="Times New Roman"/>
          <w:b w:val="false"/>
          <w:i w:val="false"/>
          <w:color w:val="000000"/>
          <w:sz w:val="21"/>
        </w:rPr>
        <w:t>[Filed 12/14/95, Notice 8/30/95—published 1/3/96, effective 2/7/96]</w:t>
      </w:r>
    </w:p>
    <w:p>
      <w:pPr>
        <w:spacing w:before="0" w:after="0"/>
        <w:ind w:left="120"/>
        <w:jc w:val="center"/>
      </w:pPr>
      <w:r>
        <w:rPr>
          <w:rFonts w:ascii="Times New Roman" w:hAnsi="Times New Roman"/>
          <w:b w:val="false"/>
          <w:i w:val="false"/>
          <w:color w:val="000000"/>
          <w:sz w:val="21"/>
        </w:rPr>
        <w:t>[Filed 2/23/96, Notice 9/27/95—published 3/13/96, effective 4/17/96]</w:t>
      </w:r>
    </w:p>
    <w:p>
      <w:pPr>
        <w:spacing w:before="0" w:after="0"/>
        <w:ind w:left="120"/>
        <w:jc w:val="center"/>
      </w:pPr>
      <w:r>
        <w:rPr>
          <w:rFonts w:ascii="Times New Roman" w:hAnsi="Times New Roman"/>
          <w:b w:val="false"/>
          <w:i w:val="false"/>
          <w:color w:val="000000"/>
          <w:sz w:val="21"/>
        </w:rPr>
        <w:t>[Filed 2/23/96, Notice 1/3/96—published 3/13/96, effective 4/17/96]</w:t>
      </w:r>
    </w:p>
    <w:p>
      <w:pPr>
        <w:spacing w:before="0" w:after="0"/>
        <w:ind w:left="120"/>
        <w:jc w:val="center"/>
      </w:pPr>
      <w:r>
        <w:rPr>
          <w:rFonts w:ascii="Times New Roman" w:hAnsi="Times New Roman"/>
          <w:b w:val="false"/>
          <w:i w:val="false"/>
          <w:color w:val="000000"/>
          <w:sz w:val="21"/>
        </w:rPr>
        <w:t>[Filed 5/2/97, Notice 3/12/97—published 5/21/97, effective 6/25/97]</w:t>
      </w:r>
    </w:p>
    <w:p>
      <w:pPr>
        <w:spacing w:before="0" w:after="0"/>
        <w:ind w:left="120"/>
        <w:jc w:val="center"/>
      </w:pPr>
      <w:r>
        <w:rPr>
          <w:rFonts w:ascii="Times New Roman" w:hAnsi="Times New Roman"/>
          <w:b w:val="false"/>
          <w:i w:val="false"/>
          <w:color w:val="000000"/>
          <w:sz w:val="21"/>
        </w:rPr>
        <w:t>[Filed 5/2/97, Notice 3/26/97—published 5/21/97, effective 6/25/97]</w:t>
      </w:r>
    </w:p>
    <w:p>
      <w:pPr>
        <w:spacing w:before="0" w:after="0"/>
        <w:ind w:left="120"/>
        <w:jc w:val="center"/>
      </w:pPr>
      <w:r>
        <w:rPr>
          <w:rFonts w:ascii="Times New Roman" w:hAnsi="Times New Roman"/>
          <w:b w:val="false"/>
          <w:i w:val="false"/>
          <w:color w:val="000000"/>
          <w:sz w:val="21"/>
        </w:rPr>
        <w:t>[Filed 2/2/98, Notice 11/5/97—published 2/25/98, effective 4/1/98]</w:t>
      </w:r>
    </w:p>
    <w:p>
      <w:pPr>
        <w:spacing w:before="0" w:after="0"/>
        <w:ind w:left="120"/>
        <w:jc w:val="center"/>
      </w:pPr>
      <w:r>
        <w:rPr>
          <w:rFonts w:ascii="Times New Roman" w:hAnsi="Times New Roman"/>
          <w:b w:val="false"/>
          <w:i w:val="false"/>
          <w:color w:val="000000"/>
          <w:sz w:val="21"/>
        </w:rPr>
        <w:t>[Filed 6/12/98, Notice 4/22/98—published 7/1/98, effective 8/5/98]</w:t>
      </w:r>
    </w:p>
    <w:p>
      <w:pPr>
        <w:spacing w:before="0" w:after="0"/>
        <w:ind w:left="120"/>
        <w:jc w:val="center"/>
      </w:pPr>
      <w:r>
        <w:rPr>
          <w:rFonts w:ascii="Times New Roman" w:hAnsi="Times New Roman"/>
          <w:b w:val="false"/>
          <w:i w:val="false"/>
          <w:color w:val="000000"/>
          <w:sz w:val="21"/>
        </w:rPr>
        <w:t>[Filed 2/5/99, Notice 12/2/98—published 2/24/99, effective 3/31/99]</w:t>
      </w:r>
    </w:p>
    <w:p>
      <w:pPr>
        <w:spacing w:before="0" w:after="0"/>
        <w:ind w:left="120"/>
        <w:jc w:val="center"/>
      </w:pPr>
      <w:r>
        <w:rPr>
          <w:rFonts w:ascii="Times New Roman" w:hAnsi="Times New Roman"/>
          <w:b w:val="false"/>
          <w:i w:val="false"/>
          <w:color w:val="000000"/>
          <w:sz w:val="21"/>
        </w:rPr>
        <w:t>[Filed 4/30/99, Notice 3/24/99—published 5/19/99, effective 7/1/99]</w:t>
      </w:r>
    </w:p>
    <w:p>
      <w:pPr>
        <w:spacing w:before="0" w:after="0"/>
        <w:ind w:left="120"/>
        <w:jc w:val="center"/>
      </w:pPr>
      <w:r>
        <w:rPr>
          <w:rFonts w:ascii="Times New Roman" w:hAnsi="Times New Roman"/>
          <w:b w:val="false"/>
          <w:i w:val="false"/>
          <w:color w:val="000000"/>
          <w:sz w:val="21"/>
        </w:rPr>
        <w:t>[Filed 11/10/99, Notice 9/22/99—published 12/1/99, effective 1/5/00]</w:t>
      </w:r>
    </w:p>
    <w:p>
      <w:pPr>
        <w:spacing w:before="0" w:after="0"/>
        <w:ind w:left="120"/>
        <w:jc w:val="center"/>
      </w:pPr>
      <w:r>
        <w:rPr>
          <w:rFonts w:ascii="Times New Roman" w:hAnsi="Times New Roman"/>
          <w:b w:val="false"/>
          <w:i w:val="false"/>
          <w:color w:val="000000"/>
          <w:sz w:val="21"/>
        </w:rPr>
        <w:t>[Filed 12/1/00, Notice 10/18/00—published 12/27/00, effective 1/31/01]</w:t>
      </w:r>
    </w:p>
    <w:p>
      <w:pPr>
        <w:spacing w:before="0" w:after="0"/>
        <w:ind w:left="120"/>
        <w:jc w:val="center"/>
      </w:pPr>
      <w:r>
        <w:rPr>
          <w:rFonts w:ascii="Times New Roman" w:hAnsi="Times New Roman"/>
          <w:b w:val="false"/>
          <w:i w:val="false"/>
          <w:color w:val="000000"/>
          <w:sz w:val="21"/>
        </w:rPr>
        <w:t>[Filed 5/11/01, Notice 4/4/01—published 5/30/01, effective 7/4/01]</w:t>
      </w:r>
    </w:p>
    <w:p>
      <w:pPr>
        <w:spacing w:before="0" w:after="0"/>
        <w:ind w:left="120"/>
        <w:jc w:val="center"/>
      </w:pPr>
      <w:r>
        <w:rPr>
          <w:rFonts w:ascii="Times New Roman" w:hAnsi="Times New Roman"/>
          <w:b w:val="false"/>
          <w:i w:val="false"/>
          <w:color w:val="000000"/>
          <w:sz w:val="21"/>
        </w:rPr>
        <w:t>[Filed 2/14/02, Notice 1/9/02—published 3/6/02, effective 4/10/02]</w:t>
      </w:r>
    </w:p>
    <w:p>
      <w:pPr>
        <w:spacing w:before="0" w:after="0"/>
        <w:ind w:left="120"/>
        <w:jc w:val="center"/>
      </w:pPr>
      <w:r>
        <w:rPr>
          <w:rFonts w:ascii="Times New Roman" w:hAnsi="Times New Roman"/>
          <w:b w:val="false"/>
          <w:i w:val="false"/>
          <w:color w:val="000000"/>
          <w:sz w:val="21"/>
        </w:rPr>
        <w:t>[Filed 6/6/02, Notice 3/6/02—published 6/26/02, effective 7/31/02]</w:t>
      </w:r>
    </w:p>
    <w:p>
      <w:pPr>
        <w:spacing w:before="0" w:after="0"/>
        <w:ind w:left="120"/>
        <w:jc w:val="center"/>
      </w:pPr>
      <w:r>
        <w:rPr>
          <w:rFonts w:ascii="Times New Roman" w:hAnsi="Times New Roman"/>
          <w:b w:val="false"/>
          <w:i w:val="false"/>
          <w:color w:val="000000"/>
          <w:sz w:val="21"/>
        </w:rPr>
        <w:t>[Filed 5/20/04, Notice 4/14/04—published 6/9/04, effective 7/14/04]</w:t>
      </w:r>
    </w:p>
    <w:p>
      <w:pPr>
        <w:spacing w:before="0" w:after="0"/>
        <w:ind w:left="120"/>
        <w:jc w:val="center"/>
      </w:pPr>
      <w:r>
        <w:rPr>
          <w:rFonts w:ascii="Times New Roman" w:hAnsi="Times New Roman"/>
          <w:b w:val="false"/>
          <w:i w:val="false"/>
          <w:color w:val="000000"/>
          <w:sz w:val="21"/>
        </w:rPr>
        <w:t>[Filed 7/16/04, Notice 6/9/04—published 8/4/04, effective 9/8/04]</w:t>
      </w:r>
    </w:p>
    <w:p>
      <w:pPr>
        <w:spacing w:before="0" w:after="0"/>
        <w:ind w:left="120"/>
        <w:jc w:val="center"/>
      </w:pPr>
      <w:r>
        <w:rPr>
          <w:rFonts w:ascii="Times New Roman" w:hAnsi="Times New Roman"/>
          <w:b w:val="false"/>
          <w:i w:val="false"/>
          <w:color w:val="000000"/>
          <w:sz w:val="21"/>
        </w:rPr>
        <w:t>[Filed 7/29/05, Notice 6/22/05—published 8/17/05, effective 9/21/05]</w:t>
      </w:r>
    </w:p>
    <w:p>
      <w:pPr>
        <w:spacing w:before="0" w:after="0"/>
        <w:ind w:left="120"/>
        <w:jc w:val="center"/>
      </w:pPr>
      <w:r>
        <w:rPr>
          <w:rFonts w:ascii="Times New Roman" w:hAnsi="Times New Roman"/>
          <w:b w:val="false"/>
          <w:i w:val="false"/>
          <w:color w:val="000000"/>
          <w:sz w:val="21"/>
        </w:rPr>
        <w:t>[Filed 6/27/06, Notice 2/15/06—published 7/19/06, effective 8/23/06]</w:t>
      </w:r>
    </w:p>
    <w:p>
      <w:pPr>
        <w:spacing w:before="0" w:after="0"/>
        <w:ind w:left="120"/>
        <w:jc w:val="center"/>
      </w:pPr>
      <w:r>
        <w:rPr>
          <w:rFonts w:ascii="Times New Roman" w:hAnsi="Times New Roman"/>
          <w:b w:val="false"/>
          <w:i w:val="false"/>
          <w:color w:val="000000"/>
          <w:sz w:val="21"/>
        </w:rPr>
        <w:t>[Filed emergency 8/17/06—published 9/13/06, effective 8/23/06]</w:t>
      </w:r>
    </w:p>
    <w:p>
      <w:pPr>
        <w:spacing w:before="0" w:after="0"/>
        <w:ind w:left="120"/>
        <w:jc w:val="center"/>
      </w:pPr>
      <w:r>
        <w:rPr>
          <w:rFonts w:ascii="Times New Roman" w:hAnsi="Times New Roman"/>
          <w:b w:val="false"/>
          <w:i w:val="false"/>
          <w:color w:val="000000"/>
          <w:sz w:val="21"/>
        </w:rPr>
        <w:t>[Filed 11/21/07, Notice 10/10/07—published 12/19/07, effective 1/23/08]</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10/15/08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4/23/08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11/5/08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12/10/08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9121C</w:t>
      </w:r>
      <w:r>
        <w:rPr>
          <w:rFonts w:ascii="Times New Roman" w:hAnsi="Times New Roman"/>
          <w:b w:val="false"/>
          <w:i w:val="false"/>
          <w:color w:val="000000"/>
          <w:sz w:val="21"/>
        </w:rPr>
        <w:t xml:space="preserve"> (Notice ARC 8697C, IAB 12/25/24)</w:t>
      </w:r>
      <w:r>
        <w:rPr>
          <w:rFonts w:ascii="Times New Roman" w:hAnsi="Times New Roman"/>
          <w:b w:val="false"/>
          <w:i w:val="false"/>
          <w:color w:val="000000"/>
          <w:sz w:val="21"/>
        </w:rPr>
        <w:t>, IAB 4/16/25, effective 5/21/25]</w:t>
      </w:r>
    </w:p>
    <w:p>
      <w:pPr>
        <w:pBdr>
          <w:bottom w:space="2"/>
        </w:pBdr>
        <w:spacing w:before="0" w:after="0"/>
        <w:ind w:left="120"/>
        <w:jc w:val="both"/>
      </w:pPr>
      <w:r>
        <w:rPr>
          <w:rFonts w:ascii="Times New Roman" w:hAnsi="Times New Roman"/>
          <w:b w:val="false"/>
          <w:i w:val="false"/>
          <w:color w:val="000000"/>
          <w:sz w:val="22"/>
        </w:rPr>
        <w:t>Effective date of subrule 135.204(10) [renumbered 12/4(10), IAC 5/4/88] delayed by the Administrative Rules Review Committee 70 days from November 2, 1983.</w:t>
      </w:r>
    </w:p>
    <w:p>
      <w:pPr>
        <w:pBdr>
          <w:bottom w:space="2"/>
        </w:pBdr>
        <w:spacing w:before="0" w:after="0"/>
        <w:ind w:left="120"/>
        <w:jc w:val="both"/>
      </w:pPr>
      <w:r>
        <w:rPr>
          <w:rFonts w:ascii="Times New Roman" w:hAnsi="Times New Roman"/>
          <w:b w:val="false"/>
          <w:i w:val="false"/>
          <w:color w:val="000000"/>
          <w:sz w:val="22"/>
        </w:rPr>
        <w:t>Effective date of rules 135.206, 135.207 and 135.208 [renumbered 12.6, 12.7 and 12.8, IAC 5/4/88] delayed by the Administrative Rules Review Committee 70 days from December 12, 1984. Delay lifted by committee on January 9, 1985.</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653.24.2.pdf" Type="http://schemas.openxmlformats.org/officeDocument/2006/relationships/hyperlink" Id="rId5"/>
    <Relationship TargetMode="External" Target="https://www.legis.iowa.gov/docs/iac/rule/653.24.2.pdf" Type="http://schemas.openxmlformats.org/officeDocument/2006/relationships/hyperlink" Id="rId6"/>
    <Relationship TargetMode="External" Target="https://www.legis.iowa.gov/docs/iac/rule/653.24.2.pdf" Type="http://schemas.openxmlformats.org/officeDocument/2006/relationships/hyperlink" Id="rId7"/>
    <Relationship TargetMode="External" Target="https://www.legis.iowa.gov/docs/iac/rule/653.24.2.pdf" Type="http://schemas.openxmlformats.org/officeDocument/2006/relationships/hyperlink" Id="rId8"/>
    <Relationship TargetMode="External" Target="https://www.legis.iowa.gov/docs/ico/chapter/622.10.pdf" Type="http://schemas.openxmlformats.org/officeDocument/2006/relationships/hyperlink" Id="rId9"/>
    <Relationship TargetMode="External" Target="https://www.legis.iowa.gov/docs/ico/chapter/272C.6.pdf" Type="http://schemas.openxmlformats.org/officeDocument/2006/relationships/hyperlink" Id="rId10"/>
    <Relationship TargetMode="External" Target="https://www.legis.iowa.gov/docs/ico/chapter/272C.6.pdf" Type="http://schemas.openxmlformats.org/officeDocument/2006/relationships/hyperlink" Id="rId11"/>
    <Relationship TargetMode="External" Target="https://www.legis.iowa.gov/docs/iac/chapter/653.25.pdf" Type="http://schemas.openxmlformats.org/officeDocument/2006/relationships/hyperlink" Id="rId12"/>
    <Relationship TargetMode="External" Target="https://www.legis.iowa.gov/docs/ico/chapter/272C.6.pdf" Type="http://schemas.openxmlformats.org/officeDocument/2006/relationships/hyperlink" Id="rId13"/>
    <Relationship TargetMode="External" Target="https://www.legis.iowa.gov/docs/ico/chapter/272C.6.pdf" Type="http://schemas.openxmlformats.org/officeDocument/2006/relationships/hyperlink" Id="rId14"/>
    <Relationship TargetMode="External" Target="https://www.legis.iowa.gov/docs/iac/rule/653.24.4.pdf" Type="http://schemas.openxmlformats.org/officeDocument/2006/relationships/hyperlink" Id="rId15"/>
    <Relationship TargetMode="External" Target="https://www.legis.iowa.gov/docs/ico/chapter/17A.pdf" Type="http://schemas.openxmlformats.org/officeDocument/2006/relationships/hyperlink" Id="rId16"/>
    <Relationship TargetMode="External" Target="https://www.legis.iowa.gov/docs/ico/chapter/147.pdf" Type="http://schemas.openxmlformats.org/officeDocument/2006/relationships/hyperlink" Id="rId17"/>
    <Relationship TargetMode="External" Target="https://www.legis.iowa.gov/docs/ico/chapter/148.pdf" Type="http://schemas.openxmlformats.org/officeDocument/2006/relationships/hyperlink" Id="rId18"/>
    <Relationship TargetMode="External" Target="https://www.legis.iowa.gov/docs/ico/chapter/272C.pdf" Type="http://schemas.openxmlformats.org/officeDocument/2006/relationships/hyperlink" Id="rId1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