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MANDATORY REPORTING</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653—22.1</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reporting—judgments or settlements. </w:t>
      </w:r>
      <w:r>
        <w:rPr>
          <w:rFonts w:ascii="Times New Roman" w:hAnsi="Times New Roman"/>
          <w:b w:val="false"/>
          <w:i w:val="false"/>
          <w:color w:val="000000"/>
          <w:sz w:val="22"/>
        </w:rPr>
        <w:t>Each licensee, including inactive licensees, will report to the board and provide a copy of every adverse judgment and settlement of a claim against the licensee in a malpractice action within 30 days from the date of said judgment or settlement. Failure to report judgments or settlements within the 30-day period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653—22.2</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reporting—wrongful acts or omissions.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w:t>
      </w:r>
      <w:r>
        <w:rPr>
          <w:rFonts w:ascii="Times New Roman" w:hAnsi="Times New Roman"/>
          <w:b w:val="false"/>
          <w:i w:val="false"/>
          <w:color w:val="000000"/>
          <w:sz w:val="22"/>
        </w:rPr>
        <w:t>means any information or evidence of reportable conduct acquired by personal observation, from a reliable or authoritative source, or under circumstances causing the licensee to believe that wrongful acts or omissions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conduct” </w:t>
      </w:r>
      <w:r>
        <w:rPr>
          <w:rFonts w:ascii="Times New Roman" w:hAnsi="Times New Roman"/>
          <w:b w:val="false"/>
          <w:i w:val="false"/>
          <w:color w:val="000000"/>
          <w:sz w:val="22"/>
        </w:rPr>
        <w:t xml:space="preserve">means wrongful acts or omissions that are grounds for license revocation or suspension under these rules or that otherwise constitute negligence, careless acts or omissions that demonstrate a licensee’s inability to practice medicine competently, safely, or within the bounds of medical ethics, pursuant to Iowa Code sections </w:t>
      </w:r>
      <w:hyperlink r:id="rId5">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 report shall be filed with the board, within 30 days from the date the licensee acquires knowledge, when a licensee has knowledge that another person licensed by the board may have engaged in reportable conduct. Failure to report is a basis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must contain the name and address of the licensee who may have engaged in the reportable conduct; the date, time, place, and circumstances in which the conduct occurred; and a statement explaining how knowledge of the reportable conduct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makes the final determination of whether or not wrongful acts or omissions have occurred.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is not required to report confidential communication obtained from a physician in the course of and as a result of a physician-patient relationship or when a state or federal statute prohibits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be civilly liable for filing a report with the board so long as such report is not made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653—22.3</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reporting—disciplinary action in another jurisdiction. </w:t>
      </w:r>
      <w:r>
        <w:rPr>
          <w:rFonts w:ascii="Times New Roman" w:hAnsi="Times New Roman"/>
          <w:b w:val="false"/>
          <w:i w:val="false"/>
          <w:color w:val="000000"/>
          <w:sz w:val="22"/>
        </w:rPr>
        <w:t>Each licensee, including inactive licensees, will report to the board, within 30 days of the action, every license revocation, suspension or other disciplinary action taken against the licensee by a professional licensing authority of another state; an agency of the United States government; or any country, territory or other jurisdiction. Failure to report in accordance with this rule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653—22.4</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reporting—child abuse and dependent adult abuse. </w:t>
      </w:r>
      <w:r>
        <w:rPr>
          <w:rFonts w:ascii="Times New Roman" w:hAnsi="Times New Roman"/>
          <w:b w:val="false"/>
          <w:i w:val="false"/>
          <w:color w:val="000000"/>
          <w:sz w:val="22"/>
        </w:rPr>
        <w:t>Each licensee will report child abuse and dependent adult abuse as required by state and federal law. Knowingly and willfully failing to report child abuse and dependent adult abuse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653—22.5</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reporting—hospital disciplinary action. </w:t>
      </w:r>
      <w:r>
        <w:rPr>
          <w:rFonts w:ascii="Times New Roman" w:hAnsi="Times New Roman"/>
          <w:b w:val="false"/>
          <w:i w:val="false"/>
          <w:color w:val="000000"/>
          <w:sz w:val="22"/>
        </w:rPr>
        <w:t xml:space="preserve">Each licensee, including inactive licensees, will file with the board a copy of the disciplinary action or voluntary action and a written report describing any disciplinary action taken by a hospital for reasons relating to the physician’s professional competence or conduct that results in a limitation, restriction, suspension, revocation, relinquishment or nonrenewal of the licensee’s hospital privileges or any voluntary limitation, restriction, suspension, revocation, relinquishment or nonrenewal of the licensee’s hospital privileges to avoid an investigation or other hospital disciplinary action. A licensee is not required to report a limitation, restriction, suspension, revocation, relinquishment or nonrenewal of the licensee’s privileges of fewer than ten days. A licensee is not required to report a voluntary, nondisciplinary limitation or relinquishment of hospital privileges made at the election of the licensee to narrow or change the nature of the licensee’s medical practice for reasons not related to competency or conduct. The written report must be filed with the board within 30 days of the date of the action. Failure to file the written report and a copy of the action is a basis for disciplinary action. Reports shall be maintained by the board in accordance with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[Filed ARC 0532C</w:t>
      </w:r>
      <w:r>
        <w:rPr>
          <w:rFonts w:ascii="Times New Roman" w:hAnsi="Times New Roman"/>
          <w:b w:val="false"/>
          <w:i w:val="false"/>
          <w:color w:val="000000"/>
          <w:sz w:val="21"/>
        </w:rPr>
        <w:t xml:space="preserve"> (Notice ARC 0176C,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9119C</w:t>
      </w:r>
      <w:r>
        <w:rPr>
          <w:rFonts w:ascii="Times New Roman" w:hAnsi="Times New Roman"/>
          <w:b w:val="false"/>
          <w:i w:val="false"/>
          <w:color w:val="000000"/>
          <w:sz w:val="21"/>
        </w:rPr>
        <w:t xml:space="preserve"> (Notice ARC 8698C,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4.pdf" Type="http://schemas.openxmlformats.org/officeDocument/2006/relationships/hyperlink" Id="rId6"/>
    <Relationship TargetMode="External" Target="https://www.legis.iowa.gov/docs/iac/chapter/653.23.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