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LICENSURE OF ACUPUNCTURISTS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653—17.1</w:t>
      </w:r>
      <w:r>
        <w:rPr>
          <w:rFonts w:ascii="Times New Roman" w:hAnsi="Times New Roman"/>
          <w:b/>
          <w:i w:val="false"/>
          <w:color w:val="000000"/>
          <w:sz w:val="22"/>
        </w:rPr>
        <w:t xml:space="preserve">(148E)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The rules in this chapter only apply to individuals licensed under Iowa Code chapter </w:t>
      </w:r>
      <w:hyperlink r:id="rId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In accordance with Iowa Code section </w:t>
      </w:r>
      <w:hyperlink r:id="rId6">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the rules in this chapter do not apply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otherwise licensed by the state to practice medicine and surgery, osteopathic medicine and surgery, chiropractic, podiatry, or dentistry who is exclusively engaged in the practice of the person’s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student practicing acupuncture under the direct supervision of a licensed acupuncturist as part of a course of study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653—17.2</w:t>
      </w:r>
      <w:r>
        <w:rPr>
          <w:rFonts w:ascii="Times New Roman" w:hAnsi="Times New Roman"/>
          <w:b/>
          <w:i w:val="false"/>
          <w:color w:val="000000"/>
          <w:sz w:val="22"/>
        </w:rPr>
        <w:t xml:space="preserve">(148E)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section </w:t>
      </w:r>
      <w:hyperlink r:id="rId7">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 xml:space="preserve"> apply to this chapter, in addition to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“ACAOM” </w:t>
      </w:r>
      <w:r>
        <w:rPr>
          <w:rFonts w:ascii="Times New Roman" w:hAnsi="Times New Roman"/>
          <w:b w:val="false"/>
          <w:i w:val="false"/>
          <w:color w:val="000000"/>
          <w:sz w:val="22"/>
        </w:rPr>
        <w:t>means the United States-based accreditation commission that certifies acupuncture and oriental medicine training programs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needle” </w:t>
      </w:r>
      <w:r>
        <w:rPr>
          <w:rFonts w:ascii="Times New Roman" w:hAnsi="Times New Roman"/>
          <w:b w:val="false"/>
          <w:i w:val="false"/>
          <w:color w:val="000000"/>
          <w:sz w:val="22"/>
        </w:rPr>
        <w:t>means a solid-core instrument including but not limited to acupuncture needles, dermal needles, intradermal needles, press tacks, plum blossom needles, prismatic needles, and disposable lancets.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“Acupuncture point” </w:t>
      </w:r>
      <w:r>
        <w:rPr>
          <w:rFonts w:ascii="Times New Roman" w:hAnsi="Times New Roman"/>
          <w:b w:val="false"/>
          <w:i w:val="false"/>
          <w:color w:val="000000"/>
          <w:sz w:val="22"/>
        </w:rPr>
        <w:t>means a specific anatomical location on the human body that serves as the treatment site for the use of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not otherwise authorized to practice acupuncture under Iowa Code section </w:t>
      </w:r>
      <w:hyperlink r:id="rId8">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xml:space="preserve"> who applies to the board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“Ashi acupuncture point” </w:t>
      </w:r>
      <w:r>
        <w:rPr>
          <w:rFonts w:ascii="Times New Roman" w:hAnsi="Times New Roman"/>
          <w:b w:val="false"/>
          <w:i w:val="false"/>
          <w:color w:val="000000"/>
          <w:sz w:val="22"/>
        </w:rPr>
        <w:t>means an acupuncture point that is located according to tenderness upon palpation. An ashi acupuncture point is also known as a trigger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 with oversight responsibility for administration of the licensure of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sheet” </w:t>
      </w:r>
      <w:r>
        <w:rPr>
          <w:rFonts w:ascii="Times New Roman" w:hAnsi="Times New Roman"/>
          <w:b w:val="false"/>
          <w:i w:val="false"/>
          <w:color w:val="000000"/>
          <w:sz w:val="22"/>
        </w:rPr>
        <w:t>means the written information licensed acupuncturists must provide to patients on initial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“Disposable needles” </w:t>
      </w:r>
      <w:r>
        <w:rPr>
          <w:rFonts w:ascii="Times New Roman" w:hAnsi="Times New Roman"/>
          <w:b w:val="false"/>
          <w:i w:val="false"/>
          <w:color w:val="000000"/>
          <w:sz w:val="22"/>
        </w:rPr>
        <w:t xml:space="preserve">means presterilized needles that are discarded after initial use pursuant to Iowa Code section </w:t>
      </w:r>
      <w:hyperlink r:id="rId9">
        <w:r>
          <w:rPr>
            <w:rStyle w:val="Hyperlink"/>
            <w:rFonts w:ascii="Times New Roman" w:hAnsi="Times New Roman"/>
            <w:b w:val="false"/>
            <w:i w:val="false"/>
            <w:color w:val="000000"/>
            <w:sz w:val="22"/>
          </w:rPr>
          <w:t>148E.5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issued by the board pursuant to Iowa Code section </w:t>
      </w:r>
      <w:hyperlink r:id="rId1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holding a license to practice acupuncture issued by the board pursuant to Iowa Code chapter </w:t>
      </w:r>
      <w:hyperlink r:id="rId11">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Certification Commission for Acupuncture and Oriental Medicine”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“NCCAOM” </w:t>
      </w:r>
      <w:r>
        <w:rPr>
          <w:rFonts w:ascii="Times New Roman" w:hAnsi="Times New Roman"/>
          <w:b w:val="false"/>
          <w:i w:val="false"/>
          <w:color w:val="000000"/>
          <w:sz w:val="22"/>
        </w:rPr>
        <w:t>means the United States-based commission that validates entry-level competency in the practice of acupuncture and oriental medicine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653—17.3</w:t>
      </w:r>
      <w:r>
        <w:rPr>
          <w:rFonts w:ascii="Times New Roman" w:hAnsi="Times New Roman"/>
          <w:b/>
          <w:i w:val="false"/>
          <w:color w:val="000000"/>
          <w:sz w:val="22"/>
        </w:rPr>
        <w:t xml:space="preserve">(147,148E)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licensed to practice acupuncture by the board, a person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all the application requirements as specified in rule </w:t>
      </w:r>
      <w:hyperlink r:id="rId12">
        <w:r>
          <w:rPr>
            <w:rStyle w:val="Hyperlink"/>
            <w:rFonts w:ascii="Times New Roman" w:hAnsi="Times New Roman"/>
            <w:b w:val="false"/>
            <w:i w:val="false"/>
            <w:color w:val="000000"/>
            <w:sz w:val="22"/>
          </w:rPr>
          <w:t>653—17.4</w:t>
        </w:r>
      </w:hyperlink>
      <w:r>
        <w:rPr>
          <w:rFonts w:ascii="Times New Roman" w:hAnsi="Times New Roman"/>
          <w:b w:val="false"/>
          <w:i w:val="false"/>
          <w:color w:val="000000"/>
          <w:sz w:val="22"/>
        </w:rPr>
        <w:t>(147,148E).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current active status as a diplomate in NCCAOM or, after June 1, 2004, hold current active status as a diplomate in acupuncture or oriental medicine from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sufficient knowledge of the English language to understand and be understood by patients and board and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the NCCAOM written and practical examination components in English may be presumed to have sufficient proficiency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NCCAOM written or practical examination components in a language other than English shall pass the Test of Spoken English (TSE) or the Test of English as a Foreign Language (TOEFL) examinations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three-year postsecondary training program or acupuncture college program that is accredited by, in candidacy for accreditation by, or that meets the standards of the Accreditation Commission for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14">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653—17.4</w:t>
      </w:r>
      <w:r>
        <w:rPr>
          <w:rFonts w:ascii="Times New Roman" w:hAnsi="Times New Roman"/>
          <w:b/>
          <w:i w:val="false"/>
          <w:color w:val="000000"/>
          <w:sz w:val="22"/>
        </w:rPr>
        <w:t xml:space="preserve">(147,148E)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acupuncture,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5">
        <w:r>
          <w:rPr>
            <w:rStyle w:val="Hyperlink"/>
            <w:rFonts w:ascii="Times New Roman" w:hAnsi="Times New Roman"/>
            <w:b w:val="false"/>
            <w:i w:val="false"/>
            <w:color w:val="000000"/>
            <w:sz w:val="22"/>
          </w:rPr>
          <w:t>653—subrule 8.2(1)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identified in </w:t>
      </w:r>
      <w:hyperlink r:id="rId16">
        <w:r>
          <w:rPr>
            <w:rStyle w:val="Hyperlink"/>
            <w:rFonts w:ascii="Times New Roman" w:hAnsi="Times New Roman"/>
            <w:b w:val="false"/>
            <w:i w:val="false"/>
            <w:color w:val="000000"/>
            <w:sz w:val="22"/>
          </w:rPr>
          <w:t>653—subrule 8.2(5)</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an acupuncture and oriental medicine training program or college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acupuncture, including license, certificate of registration or certification numbers,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NCCAOM score report verification form submitted directly to the board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clinical acupuncture training, work experience and, where applicable,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acupuncture degree issued by an educational institution. If a copy of the acupuncture degree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An official transcript, written in English and received directly from the educational institution, showing graduation from an acupuncture training program or an educational institution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acupuncture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sent directly from an acupuncture training program or an educational institution attended by the applicant and, if requested by the board, an English translation of the official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proficiency in the English language, when the applicant has not passed the English version of the NCCAOM written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7">
        <w:r>
          <w:rPr>
            <w:rStyle w:val="Hyperlink"/>
            <w:rFonts w:ascii="Times New Roman" w:hAnsi="Times New Roman"/>
            <w:b w:val="false"/>
            <w:i w:val="false"/>
            <w:color w:val="000000"/>
            <w:sz w:val="22"/>
          </w:rPr>
          <w:t>653—subrule 8.2(2)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applicants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acupuncture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specified in subrule </w:t>
      </w:r>
      <w:hyperlink r:id="rId18">
        <w:r>
          <w:rPr>
            <w:rStyle w:val="Hyperlink"/>
            <w:rFonts w:ascii="Times New Roman" w:hAnsi="Times New Roman"/>
            <w:b w:val="false"/>
            <w:i w:val="false"/>
            <w:color w:val="000000"/>
            <w:sz w:val="22"/>
          </w:rPr>
          <w:t>17.4(2)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9">
        <w:r>
          <w:rPr>
            <w:rStyle w:val="Hyperlink"/>
            <w:rFonts w:ascii="Times New Roman" w:hAnsi="Times New Roman"/>
            <w:b w:val="false"/>
            <w:i w:val="false"/>
            <w:color w:val="000000"/>
            <w:sz w:val="22"/>
          </w:rPr>
          <w:t>17.4(2)</w:t>
        </w:r>
      </w:hyperlink>
      <w:r>
        <w:rPr>
          <w:rFonts w:ascii="Times New Roman" w:hAnsi="Times New Roman"/>
          <w:b w:val="false"/>
          <w:i w:val="false"/>
          <w:color w:val="000000"/>
          <w:sz w:val="22"/>
        </w:rPr>
        <w:t xml:space="preserve"> related to prior professional experience, education, training, examination scores, diplomate status, licensure or registration,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English translations of documents in foreign languages bearing the affidavit of the translator certifying that the translation is a true and complete translation of the foreign language original. The applicant shall bear the expense of the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The process below is utilized to review each application. Priority is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is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rule </w:t>
      </w:r>
      <w:hyperlink r:id="rId20">
        <w:r>
          <w:rPr>
            <w:rStyle w:val="Hyperlink"/>
            <w:rFonts w:ascii="Times New Roman" w:hAnsi="Times New Roman"/>
            <w:b w:val="false"/>
            <w:i w:val="false"/>
            <w:color w:val="000000"/>
            <w:sz w:val="22"/>
          </w:rPr>
          <w:t>653—17.3</w:t>
        </w:r>
      </w:hyperlink>
      <w:r>
        <w:rPr>
          <w:rFonts w:ascii="Times New Roman" w:hAnsi="Times New Roman"/>
          <w:b w:val="false"/>
          <w:i w:val="false"/>
          <w:color w:val="000000"/>
          <w:sz w:val="22"/>
        </w:rPr>
        <w:t xml:space="preserve">(147,148E) as authorized by Iowa Code section </w:t>
      </w:r>
      <w:hyperlink r:id="rId21">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or in </w:t>
      </w:r>
      <w:hyperlink r:id="rId25">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will issue a preliminary notice of denial that will be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will consider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7">
        <w:r>
          <w:rPr>
            <w:rStyle w:val="Hyperlink"/>
            <w:rFonts w:ascii="Times New Roman" w:hAnsi="Times New Roman"/>
            <w:b w:val="false"/>
            <w:i w:val="false"/>
            <w:color w:val="000000"/>
            <w:sz w:val="22"/>
          </w:rPr>
          <w:t>17.4(8)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8">
        <w:r>
          <w:rPr>
            <w:rStyle w:val="Hyperlink"/>
            <w:rFonts w:ascii="Times New Roman" w:hAnsi="Times New Roman"/>
            <w:b w:val="false"/>
            <w:i w:val="false"/>
            <w:color w:val="000000"/>
            <w:sz w:val="22"/>
          </w:rPr>
          <w:t>17.4(8)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Provisions of this rule are not subject to waiver pursuant to  </w:t>
      </w:r>
      <w:hyperlink r:id="rId29">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653—17.5</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a license expires on October 31 of even-numbered years and can be renewed for the fee identified in </w:t>
      </w:r>
      <w:hyperlink r:id="rId31">
        <w:r>
          <w:rPr>
            <w:rStyle w:val="Hyperlink"/>
            <w:rFonts w:ascii="Times New Roman" w:hAnsi="Times New Roman"/>
            <w:b w:val="false"/>
            <w:i w:val="false"/>
            <w:color w:val="000000"/>
            <w:sz w:val="22"/>
          </w:rPr>
          <w:t>653—paragraph 8.2(2)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applicant for renewal shall provide 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acupuncture expire on October 31 in 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even-numbered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stated in </w:t>
      </w:r>
      <w:hyperlink r:id="rId32">
        <w:r>
          <w:rPr>
            <w:rStyle w:val="Hyperlink"/>
            <w:rFonts w:ascii="Times New Roman" w:hAnsi="Times New Roman"/>
            <w:b w:val="false"/>
            <w:i w:val="false"/>
            <w:color w:val="000000"/>
            <w:sz w:val="22"/>
          </w:rPr>
          <w:t>657—paragraph 8.2(2)</w:t>
        </w:r>
      </w:hyperlink>
      <w:r>
        <w:rPr>
          <w:rFonts w:ascii="Times New Roman" w:hAnsi="Times New Roman"/>
          <w:b w:val="false"/>
          <w:i/>
          <w:color w:val="000000"/>
          <w:sz w:val="22"/>
        </w:rPr>
        <w:t>“g”</w:t>
      </w:r>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acupuncture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an acupuncturist license in lapsed status does not preclude the board from taking disciplinary actions authorized in Iowa Code section </w:t>
      </w:r>
      <w:hyperlink r:id="rId3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653—17.6</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completed application for reactivation of a license to practice acupuncture.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6">
        <w:r>
          <w:rPr>
            <w:rStyle w:val="Hyperlink"/>
            <w:rFonts w:ascii="Times New Roman" w:hAnsi="Times New Roman"/>
            <w:b w:val="false"/>
            <w:i w:val="false"/>
            <w:color w:val="000000"/>
            <w:sz w:val="22"/>
          </w:rPr>
          <w:t>653—subrule 8.2(5)</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rule </w:t>
      </w:r>
      <w:hyperlink r:id="rId37">
        <w:r>
          <w:rPr>
            <w:rStyle w:val="Hyperlink"/>
            <w:rFonts w:ascii="Times New Roman" w:hAnsi="Times New Roman"/>
            <w:b w:val="false"/>
            <w:i w:val="false"/>
            <w:color w:val="000000"/>
            <w:sz w:val="22"/>
          </w:rPr>
          <w:t>653—8.2</w:t>
        </w:r>
      </w:hyperlink>
      <w:r>
        <w:rPr>
          <w:rFonts w:ascii="Times New Roman" w:hAnsi="Times New Roman"/>
          <w:b w:val="false"/>
          <w:i w:val="false"/>
          <w:color w:val="000000"/>
          <w:sz w:val="22"/>
        </w:rPr>
        <w:t xml:space="preserve">(147,148,272C) plus the fee identified in </w:t>
      </w:r>
      <w:hyperlink r:id="rId38">
        <w:r>
          <w:rPr>
            <w:rStyle w:val="Hyperlink"/>
            <w:rFonts w:ascii="Times New Roman" w:hAnsi="Times New Roman"/>
            <w:b w:val="false"/>
            <w:i w:val="false"/>
            <w:color w:val="000000"/>
            <w:sz w:val="22"/>
          </w:rPr>
          <w:t>653—subrule 8.2(5)</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an NCCAOM certificate which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color w:val="000000"/>
          <w:sz w:val="22"/>
        </w:rPr>
        <w:t xml:space="preserve">Reactivation restrictions. </w:t>
      </w:r>
      <w:r>
        <w:rPr>
          <w:rFonts w:ascii="Times New Roman" w:hAnsi="Times New Roman"/>
          <w:b w:val="false"/>
          <w:i w:val="false"/>
          <w:color w:val="000000"/>
          <w:sz w:val="22"/>
        </w:rPr>
        <w:t xml:space="preserve">Pursuant to Iowa Code section </w:t>
      </w:r>
      <w:hyperlink r:id="rId39">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committee may require an applicant who has not engaged in active practice in the past three years in any jurisdiction of the United States to meet any or all of the following requirements prior to reactivation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653—17.7</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Licensees shall demonstrate that they hold current active status as a diplomate from the NCCAOM. The NCCAOM requires 60 points of professional development activity every four years. Active NCCAOM certification satisfies the continuing education requirements established in Iowa Code section </w:t>
      </w:r>
      <w:hyperlink r:id="rId40">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653—17.8</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color w:val="000000"/>
          <w:sz w:val="22"/>
        </w:rPr>
        <w:t xml:space="preserve">Diagnostic and treatment modalities. </w:t>
      </w:r>
      <w:r>
        <w:rPr>
          <w:rFonts w:ascii="Times New Roman" w:hAnsi="Times New Roman"/>
          <w:b w:val="false"/>
          <w:i w:val="false"/>
          <w:color w:val="000000"/>
          <w:sz w:val="22"/>
        </w:rPr>
        <w:t>Diagnostic and treatment modalities used by licensees under this chapter may include one or more of the following acupunctural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stimulation or piercing of the skin with an acupuncture needle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evoke a therapeutic physiological response, either locally or distally to the area of insertion or stimulation.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relieve pain or treat the neuromusculoskeletal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stimulate ashi acupuncture points to relieve pain and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promote, maintain, and restore health and to prevent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stimulate the body according to auricular, hand, nose, face, foot or scalp acupuncture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use acupuncture needles with or without the use of herbs, electric current, or application of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oriental medical diagnosis and treatment,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Moxibustion, cupping, thermal methods, magnets, gua sha scraping techniques, acupatches, herbal poultices, hot and cold packs, electromagnetic wave therapy, light and color therapy, sound therapy, or therapy lasers.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Massage, acupressure, reflexology, shiatsu and tui na massage, or manual stimulation, including stimulation by an instrument or mechanical device that does not pierce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Herbal medicine and dietary supplements, including those of plant, mineral, animal, and nutraceutical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adjunctive service or procedure that is clinically appropriate based on the licensee’s training as approved by NCCAOM or ACAOM.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color w:val="000000"/>
          <w:sz w:val="22"/>
        </w:rPr>
        <w:t xml:space="preserve">Use and disposal of needles. </w:t>
      </w:r>
      <w:r>
        <w:rPr>
          <w:rFonts w:ascii="Times New Roman" w:hAnsi="Times New Roman"/>
          <w:b w:val="false"/>
          <w:i w:val="false"/>
          <w:color w:val="000000"/>
          <w:sz w:val="22"/>
        </w:rPr>
        <w:t>A licensee shall use only presterilized, disposable needles and shall provide for the disposal of used needles in accordance with the requirements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 xml:space="preserve">A licensee shall be held to the same standard of care as persons licensed to practice medicine and surgery or osteopathic medicine and surgery. Pursuant to Iowa Code section </w:t>
      </w:r>
      <w:hyperlink r:id="rId4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any error or omission, unreasonable lack of skill, or failure to maintain a reasonable standard of care in the practice of acupuncture constitutes malpractice and is grounds for the revocation or suspension of a license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 xml:space="preserve">An acupuncturist licensed under this title may use the words “licensed acupuncturist” or “L.Ac.” to connote professional standing after the licensee’s name in accordance with Iowa Code section </w:t>
      </w:r>
      <w:hyperlink r:id="rId42">
        <w:r>
          <w:rPr>
            <w:rStyle w:val="Hyperlink"/>
            <w:rFonts w:ascii="Times New Roman" w:hAnsi="Times New Roman"/>
            <w:b w:val="false"/>
            <w:i w:val="false"/>
            <w:color w:val="000000"/>
            <w:sz w:val="22"/>
          </w:rPr>
          <w:t>147.74(18)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17.8(5)</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of changes in home address,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17.8(6)</w:t>
      </w:r>
      <w:r>
        <w:rPr>
          <w:rFonts w:ascii="Times New Roman" w:hAnsi="Times New Roman"/>
          <w:b w:val="false"/>
          <w:i w:val="false"/>
          <w:color w:val="000000"/>
          <w:sz w:val="22"/>
        </w:rPr>
        <w:t> </w:t>
      </w:r>
      <w:r>
        <w:rPr>
          <w:rFonts w:ascii="Times New Roman" w:hAnsi="Times New Roman"/>
          <w:b w:val="false"/>
          <w:i/>
          <w:color w:val="000000"/>
          <w:sz w:val="22"/>
        </w:rPr>
        <w:t xml:space="preserve">Delegation of responsibilities. </w:t>
      </w:r>
      <w:r>
        <w:rPr>
          <w:rFonts w:ascii="Times New Roman" w:hAnsi="Times New Roman"/>
          <w:b w:val="false"/>
          <w:i w:val="false"/>
          <w:color w:val="000000"/>
          <w:sz w:val="22"/>
        </w:rPr>
        <w:t>A licensee shall perform all aspects of acupuncture treatment that involve penetration of the skin of a patient. The licensee may delegate other aspects of treatment to staff and patients who are properly trained by the licensee. It is permissible for appropriately trained staff and patients to remove acupuncture needles from the patient’s body. The licensee is responsible for establishing and maintaining written training standards for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17.8(7)</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17.8(8)</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sections </w:t>
      </w:r>
      <w:hyperlink r:id="rId4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45">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emergency 8/3/00 after Notice 6/28/00—published 8/23/00, effective 8/3/00]</w:t>
      </w:r>
    </w:p>
    <w:p>
      <w:pPr>
        <w:spacing w:before="0" w:after="0"/>
        <w:ind w:left="120"/>
        <w:jc w:val="center"/>
      </w:pPr>
      <w:r>
        <w:rPr>
          <w:rFonts w:ascii="Times New Roman" w:hAnsi="Times New Roman"/>
          <w:b w:val="false"/>
          <w:i w:val="false"/>
          <w:color w:val="000000"/>
          <w:sz w:val="21"/>
        </w:rPr>
        <w:t>[Filed 12/1/00, Notice 10/18/00—published 12/27/00, effective 1/31/01]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2/2/04, Notice 12/24/03—published 3/3/04, effective 4/7/04]</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2950C</w:t>
      </w:r>
      <w:r>
        <w:rPr>
          <w:rFonts w:ascii="Times New Roman" w:hAnsi="Times New Roman"/>
          <w:b w:val="false"/>
          <w:i w:val="false"/>
          <w:color w:val="000000"/>
          <w:sz w:val="21"/>
        </w:rPr>
        <w:t xml:space="preserve"> (Notice ARC 2860C,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9116C</w:t>
      </w:r>
      <w:r>
        <w:rPr>
          <w:rFonts w:ascii="Times New Roman" w:hAnsi="Times New Roman"/>
          <w:b w:val="false"/>
          <w:i w:val="false"/>
          <w:color w:val="000000"/>
          <w:sz w:val="21"/>
        </w:rPr>
        <w:t xml:space="preserve"> (Notice ARC 8702C,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E.pdf" Type="http://schemas.openxmlformats.org/officeDocument/2006/relationships/hyperlink" Id="rId5"/>
    <Relationship TargetMode="External" Target="https://www.legis.iowa.gov/docs/ico/chapter/148E.3.pdf" Type="http://schemas.openxmlformats.org/officeDocument/2006/relationships/hyperlink" Id="rId6"/>
    <Relationship TargetMode="External" Target="https://www.legis.iowa.gov/docs/ico/chapter/148E.1.pdf" Type="http://schemas.openxmlformats.org/officeDocument/2006/relationships/hyperlink" Id="rId7"/>
    <Relationship TargetMode="External" Target="https://www.legis.iowa.gov/docs/ico/chapter/148E.3.pdf" Type="http://schemas.openxmlformats.org/officeDocument/2006/relationships/hyperlink" Id="rId8"/>
    <Relationship TargetMode="External" Target="https://www.legis.iowa.gov/docs/ico/chapter/148E.5.pdf" Type="http://schemas.openxmlformats.org/officeDocument/2006/relationships/hyperlink" Id="rId9"/>
    <Relationship TargetMode="External" Target="https://www.legis.iowa.gov/docs/ico/chapter/148E.2.pdf" Type="http://schemas.openxmlformats.org/officeDocument/2006/relationships/hyperlink" Id="rId10"/>
    <Relationship TargetMode="External" Target="https://www.legis.iowa.gov/docs/ico/chapter/148E.pdf" Type="http://schemas.openxmlformats.org/officeDocument/2006/relationships/hyperlink" Id="rId11"/>
    <Relationship TargetMode="External" Target="https://www.legis.iowa.gov/docs/iac/rule/653.17.4.pdf" Type="http://schemas.openxmlformats.org/officeDocument/2006/relationships/hyperlink" Id="rId12"/>
    <Relationship TargetMode="External" Target="https://www.legis.iowa.gov/docs/iac/rule/653.9.3.pdf" Type="http://schemas.openxmlformats.org/officeDocument/2006/relationships/hyperlink" Id="rId13"/>
    <Relationship TargetMode="External" Target="https://www.legis.iowa.gov/docs/iac/chapter/653.3.pdf" Type="http://schemas.openxmlformats.org/officeDocument/2006/relationships/hyperlink" Id="rId14"/>
    <Relationship TargetMode="External" Target="https://www.legis.iowa.gov/docs/iac/rule/653.8.2.pdf" Type="http://schemas.openxmlformats.org/officeDocument/2006/relationships/hyperlink" Id="rId15"/>
    <Relationship TargetMode="External" Target="https://www.legis.iowa.gov/docs/iac/rule/653.8.2.pdf" Type="http://schemas.openxmlformats.org/officeDocument/2006/relationships/hyperlink" Id="rId16"/>
    <Relationship TargetMode="External" Target="https://www.legis.iowa.gov/docs/iac/rule/653.8.2.pdf" Type="http://schemas.openxmlformats.org/officeDocument/2006/relationships/hyperlink" Id="rId17"/>
    <Relationship TargetMode="External" Target="https://www.legis.iowa.gov/docs/iac/rule/653.17.4.pdf" Type="http://schemas.openxmlformats.org/officeDocument/2006/relationships/hyperlink" Id="rId18"/>
    <Relationship TargetMode="External" Target="https://www.legis.iowa.gov/docs/iac/rule/653.17.4.pdf" Type="http://schemas.openxmlformats.org/officeDocument/2006/relationships/hyperlink" Id="rId19"/>
    <Relationship TargetMode="External" Target="https://www.legis.iowa.gov/docs/iac/rule/653.17.3.pdf" Type="http://schemas.openxmlformats.org/officeDocument/2006/relationships/hyperlink" Id="rId20"/>
    <Relationship TargetMode="External" Target="https://www.legis.iowa.gov/docs/ico/chapter/148E.2.pdf" Type="http://schemas.openxmlformats.org/officeDocument/2006/relationships/hyperlink" Id="rId21"/>
    <Relationship TargetMode="External" Target="https://www.legis.iowa.gov/docs/ico/chapter/147.4.pdf" Type="http://schemas.openxmlformats.org/officeDocument/2006/relationships/hyperlink" Id="rId22"/>
    <Relationship TargetMode="External" Target="https://www.legis.iowa.gov/docs/ico/chapter/147.55.pdf" Type="http://schemas.openxmlformats.org/officeDocument/2006/relationships/hyperlink" Id="rId23"/>
    <Relationship TargetMode="External" Target="https://www.legis.iowa.gov/docs/ico/chapter/148E.8.pdf" Type="http://schemas.openxmlformats.org/officeDocument/2006/relationships/hyperlink" Id="rId24"/>
    <Relationship TargetMode="External" Target="https://www.legis.iowa.gov/docs/iac/chapter/481.8.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ac/rule/653.17.4.pdf" Type="http://schemas.openxmlformats.org/officeDocument/2006/relationships/hyperlink" Id="rId27"/>
    <Relationship TargetMode="External" Target="https://www.legis.iowa.gov/docs/iac/rule/653.17.4.pdf" Type="http://schemas.openxmlformats.org/officeDocument/2006/relationships/hyperlink" Id="rId28"/>
    <Relationship TargetMode="External" Target="https://www.legis.iowa.gov/docs/iac/chapter/481.6.pdf" Type="http://schemas.openxmlformats.org/officeDocument/2006/relationships/hyperlink" Id="rId29"/>
    <Relationship TargetMode="External" Target="https://www.legis.iowa.gov/docs/ico/chapter/148E.2.pdf" Type="http://schemas.openxmlformats.org/officeDocument/2006/relationships/hyperlink" Id="rId30"/>
    <Relationship TargetMode="External" Target="https://www.legis.iowa.gov/docs/iac/rule/653.8.2.pdf" Type="http://schemas.openxmlformats.org/officeDocument/2006/relationships/hyperlink" Id="rId31"/>
    <Relationship TargetMode="External" Target="https://www.legis.iowa.gov/docs/iac/rule/657.8.2.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8E.8.pdf" Type="http://schemas.openxmlformats.org/officeDocument/2006/relationships/hyperlink" Id="rId34"/>
    <Relationship TargetMode="External" Target="https://www.legis.iowa.gov/docs/ico/chapter/147.11.pdf" Type="http://schemas.openxmlformats.org/officeDocument/2006/relationships/hyperlink" Id="rId35"/>
    <Relationship TargetMode="External" Target="https://www.legis.iowa.gov/docs/iac/rule/653.8.2.pdf" Type="http://schemas.openxmlformats.org/officeDocument/2006/relationships/hyperlink" Id="rId36"/>
    <Relationship TargetMode="External" Target="https://www.legis.iowa.gov/docs/iac/rule/653.8.2.pdf" Type="http://schemas.openxmlformats.org/officeDocument/2006/relationships/hyperlink" Id="rId37"/>
    <Relationship TargetMode="External" Target="https://www.legis.iowa.gov/docs/iac/rule/653.8.2.pdf" Type="http://schemas.openxmlformats.org/officeDocument/2006/relationships/hyperlink" Id="rId38"/>
    <Relationship TargetMode="External" Target="https://www.legis.iowa.gov/docs/ico/chapter/272C.3.pdf" Type="http://schemas.openxmlformats.org/officeDocument/2006/relationships/hyperlink" Id="rId39"/>
    <Relationship TargetMode="External" Target="https://www.legis.iowa.gov/docs/ico/chapter/272C.2.pdf" Type="http://schemas.openxmlformats.org/officeDocument/2006/relationships/hyperlink" Id="rId40"/>
    <Relationship TargetMode="External" Target="https://www.legis.iowa.gov/docs/ico/chapter/272C.3.pdf" Type="http://schemas.openxmlformats.org/officeDocument/2006/relationships/hyperlink" Id="rId41"/>
    <Relationship TargetMode="External" Target="https://www.legis.iowa.gov/docs/ico/chapter/147.74.pdf" Type="http://schemas.openxmlformats.org/officeDocument/2006/relationships/hyperlink" Id="rId42"/>
    <Relationship TargetMode="External" Target="https://www.legis.iowa.gov/docs/ico/chapter/148E.pdf" Type="http://schemas.openxmlformats.org/officeDocument/2006/relationships/hyperlink" Id="rId43"/>
    <Relationship TargetMode="External" Target="https://www.legis.iowa.gov/docs/ico/chapter/17A.10.pdf" Type="http://schemas.openxmlformats.org/officeDocument/2006/relationships/hyperlink" Id="rId44"/>
    <Relationship TargetMode="External" Target="https://www.legis.iowa.gov/docs/ico/chapter/17A.20.pdf" Type="http://schemas.openxmlformats.org/officeDocument/2006/relationships/hyperlink" Id="rId45"/>
    <Relationship TargetMode="External" Target="https://www.legis.iowa.gov/docs/ico/chapter/147.55.pdf" Type="http://schemas.openxmlformats.org/officeDocument/2006/relationships/hyperlink" Id="rId46"/>
    <Relationship TargetMode="External" Target="https://www.legis.iowa.gov/docs/ico/chapter/272C.3.pdf" Type="http://schemas.openxmlformats.org/officeDocument/2006/relationships/hyperlink" Id="rId47"/>
    <Relationship TargetMode="External" Target="https://www.legis.iowa.gov/docs/ico/chapter/272C.6.pdf" Type="http://schemas.openxmlformats.org/officeDocument/2006/relationships/hyperlink" Id="rId48"/>
    <Relationship TargetMode="External" Target="https://www.legis.iowa.gov/docs/ico/chapter/272C.8.pdf" Type="http://schemas.openxmlformats.org/officeDocument/2006/relationships/hyperlink" Id="rId49"/>
    <Relationship TargetMode="External" Target="https://www.legis.iowa.gov/docs/ico/chapter/272C.9.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