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ADMINISTRATIVE AND REGULATORY AUTHORITY</w:t>
      </w:r>
    </w:p>
    <w:p>
      <w:pPr>
        <w:spacing w:before="0" w:after="0"/>
        <w:ind w:left="120"/>
        <w:jc w:val="center"/>
      </w:pPr>
      <w:r>
        <w:rPr>
          <w:rFonts w:ascii="Times New Roman" w:hAnsi="Times New Roman"/>
          <w:b w:val="false"/>
          <w:i w:val="false"/>
          <w:color w:val="000000"/>
          <w:sz w:val="14"/>
        </w:rPr>
        <w:t>[Prior to 5/4/88, see 470—135.1 to 135.10]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653—1.1</w:t>
      </w:r>
      <w:r>
        <w:rPr>
          <w:rFonts w:ascii="Times New Roman" w:hAnsi="Times New Roman"/>
          <w:b/>
          <w:i w:val="false"/>
          <w:color w:val="000000"/>
          <w:sz w:val="22"/>
        </w:rPr>
        <w:t xml:space="preserve">(17A,147)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are applicable to the rules of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“Acupuncture” </w:t>
      </w:r>
      <w:r>
        <w:rPr>
          <w:rFonts w:ascii="Times New Roman" w:hAnsi="Times New Roman"/>
          <w:b w:val="false"/>
          <w:i w:val="false"/>
          <w:color w:val="000000"/>
          <w:sz w:val="22"/>
        </w:rPr>
        <w:t>means a form of health care developed from traditional and modern oriental medical concepts that employs oriental medical diagnosis and treatment, and adjunctive therapies and diagnostic techniques, for the promotion, maintenance, and restoration of health and the prevention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“Acupuncturist” </w:t>
      </w:r>
      <w:r>
        <w:rPr>
          <w:rFonts w:ascii="Times New Roman" w:hAnsi="Times New Roman"/>
          <w:b w:val="false"/>
          <w:i w:val="false"/>
          <w:color w:val="000000"/>
          <w:sz w:val="22"/>
        </w:rPr>
        <w:t>means a person licensed to practice acupuncture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“Alternate member” </w:t>
      </w:r>
      <w:r>
        <w:rPr>
          <w:rFonts w:ascii="Times New Roman" w:hAnsi="Times New Roman"/>
          <w:b w:val="false"/>
          <w:i w:val="false"/>
          <w:color w:val="000000"/>
          <w:sz w:val="22"/>
        </w:rPr>
        <w:t xml:space="preserve">means a person who is qualified under Iowa Code section </w:t>
      </w:r>
      <w:hyperlink r:id="rId5">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 xml:space="preserve"> to substitute for a board member who is disqualified or becomes unavailable for a contested case hearing. An alternate board member is deemed a member of the board only for the hearing panel(s) for which the alternate board member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medicine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“Disciplinary proceeding” </w:t>
      </w:r>
      <w:r>
        <w:rPr>
          <w:rFonts w:ascii="Times New Roman" w:hAnsi="Times New Roman"/>
          <w:b w:val="false"/>
          <w:i w:val="false"/>
          <w:color w:val="000000"/>
          <w:sz w:val="22"/>
        </w:rPr>
        <w:t>means any proceeding under the authority of the board pursuant to which licensee discipline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certificate issued to a person licensed to practice medicine and surgery, osteopathic medicine and surgery, or acupuncture under the laws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to practice medicine and surgery, osteopathic medicine and surgery, or acupuncture under the laws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discipline”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any sanction the board may impose upon its licensees for conduct that threatens or denies citizens of this state a high standard of professional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“Malpractice” </w:t>
      </w:r>
      <w:r>
        <w:rPr>
          <w:rFonts w:ascii="Times New Roman" w:hAnsi="Times New Roman"/>
          <w:b w:val="false"/>
          <w:i w:val="false"/>
          <w:color w:val="000000"/>
          <w:sz w:val="22"/>
        </w:rPr>
        <w:t>means any error or omission, unreasonable lack of skill, or failure to maintain a reasonable standard of care by a physician in the practice of the physician’s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practice Acts” </w:t>
      </w:r>
      <w:r>
        <w:rPr>
          <w:rFonts w:ascii="Times New Roman" w:hAnsi="Times New Roman"/>
          <w:b w:val="false"/>
          <w:i w:val="false"/>
          <w:color w:val="000000"/>
          <w:sz w:val="22"/>
        </w:rPr>
        <w:t xml:space="preserve">refers to Iowa Code chapters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means a requirement, procedure or standard of specific or limited application adopted by the board relating to any matter the board is authorized to act upon, including the professional conduct of licensees and the examination for licensure and licensure of any person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means evaluation of professional services rendered by a professional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reviewer(s)” </w:t>
      </w:r>
      <w:r>
        <w:rPr>
          <w:rFonts w:ascii="Times New Roman" w:hAnsi="Times New Roman"/>
          <w:b w:val="false"/>
          <w:i w:val="false"/>
          <w:color w:val="000000"/>
          <w:sz w:val="22"/>
        </w:rPr>
        <w:t>means one or more persons acting in a peer review capacity who have been appointed by the board for such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licensed to practice medicine and surgery or osteopathic medicine and surgery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acupuncture” </w:t>
      </w:r>
      <w:r>
        <w:rPr>
          <w:rFonts w:ascii="Times New Roman" w:hAnsi="Times New Roman"/>
          <w:b w:val="false"/>
          <w:i w:val="false"/>
          <w:color w:val="000000"/>
          <w:sz w:val="22"/>
        </w:rPr>
        <w:t>means the insertion of acupuncture needles and the application of moxibustion to specific areas of the human body based upon oriental medical diagnosis as a primary mode of therapy. Adjunctive therapies within the scope of acupuncture may include manual, mechanical, thermal, electrical, and electromagnetic treatment, and the recommendation of dietary guidelines and therapeutic exercise based on traditional oriental medical concepts.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practice of medicine and surgery” </w:t>
      </w:r>
      <w:r>
        <w:rPr>
          <w:rFonts w:ascii="Times New Roman" w:hAnsi="Times New Roman"/>
          <w:b w:val="false"/>
          <w:i w:val="false"/>
          <w:color w:val="000000"/>
          <w:sz w:val="22"/>
        </w:rPr>
        <w:t>means holding one’s self out as being able to diagnose, treat, operate or prescribe for any human disease, pain, injury, deformity or physical or mental condition and who shall either offer or undertake, by any means or methods, to diagnose, treat, operate or prescribe for any human disease, pain, injury, deformity or physical or mental condition. This rule shall not apply to licensed podiatrists, chiropractors, physical therapists, nurses, dentists, optometrists, acupuncturists, pharmacists, and other licensed health professionals who are exclusively engaged in the practice of their respective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drugs” </w:t>
      </w:r>
      <w:r>
        <w:rPr>
          <w:rFonts w:ascii="Times New Roman" w:hAnsi="Times New Roman"/>
          <w:b w:val="false"/>
          <w:i w:val="false"/>
          <w:color w:val="000000"/>
          <w:sz w:val="22"/>
        </w:rPr>
        <w:t>means drugs, medicine and controlled substances that by law can only be prescribed for human use by persons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 </w:t>
      </w:r>
      <w:r>
        <w:rPr>
          <w:rFonts w:ascii="Times New Roman" w:hAnsi="Times New Roman"/>
          <w:b w:val="false"/>
          <w:i w:val="false"/>
          <w:color w:val="000000"/>
          <w:sz w:val="22"/>
        </w:rPr>
        <w:t>means medicine and surgery, osteopathic medicine and surgery,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a licensee charged by the board in a complaint and statement of charges with violations of statutes or rules relating to the practice of medicine and surgery, osteopathic medicine and surgery,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 </w:t>
      </w:r>
      <w:r>
        <w:rPr>
          <w:rFonts w:ascii="Times New Roman" w:hAnsi="Times New Roman"/>
          <w:b w:val="false"/>
          <w:i w:val="false"/>
          <w:color w:val="000000"/>
          <w:sz w:val="22"/>
        </w:rPr>
        <w:t xml:space="preserve">means a regulation, requirement, procedure, or standard of general application prescribed by the board relating to either the administration or enforcement of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653—1.2</w:t>
      </w:r>
      <w:r>
        <w:rPr>
          <w:rFonts w:ascii="Times New Roman" w:hAnsi="Times New Roman"/>
          <w:b/>
          <w:i w:val="false"/>
          <w:color w:val="000000"/>
          <w:sz w:val="22"/>
        </w:rPr>
        <w:t xml:space="preserve">(17A) </w:t>
      </w:r>
      <w:r>
        <w:rPr>
          <w:rFonts w:ascii="Times New Roman" w:hAnsi="Times New Roman"/>
          <w:b/>
          <w:i w:val="false"/>
          <w:color w:val="000000"/>
          <w:sz w:val="22"/>
        </w:rPr>
        <w:t xml:space="preserve">Purpose of board. </w:t>
      </w:r>
      <w:r>
        <w:rPr>
          <w:rFonts w:ascii="Times New Roman" w:hAnsi="Times New Roman"/>
          <w:b w:val="false"/>
          <w:i w:val="false"/>
          <w:color w:val="000000"/>
          <w:sz w:val="22"/>
        </w:rPr>
        <w:t xml:space="preserve">The purpose of the board is to administer and enforce the provisions of Iowa Code chapters </w:t>
      </w:r>
      <w:hyperlink r:id="rId1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with regard to the practice of medicine and surgery, osteopathic medicine and surgery, and acupuncture.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of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Makes policy relative to matters involving medical and acupuncture education, licensure, practice, and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Conducts business according to board-approved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Elects a chairperson, vice chairperson and a secretary from its membership at the last regular board meeting prior to May 1 or at another date in April scheduled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Has the authority and powers conferred in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may establish committees of the board, the members of which, except for the executive committee, shall be appointed by the board chairperson and shall not constitute a quorum of the board. The board chairperson shall appoint committee chairpersons. Committees of the board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Executive committee. The membership is composed of the elected officers of the board and two at-large members appointed by the chairperson. At least one public member is appointed to the executive committee. The executive committee duties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Guidance and supervision of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Budgetary review and recommendations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 and recommendations to the board on rules and legislative proposals.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Study and recommendations to the board on practice issues and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Screening committee. The committee reviews complaints and makes recommendations to the board on appropriate action including further investigation or referral to the board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Licensure committee. Its duties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Recommending appropriate action on completed applications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Conducting interviews with applicants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Reviewing licensure examination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Reviewing and recommending to the board appropriate changes in licensure 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Reviewing and making recommendations to the board regarding volunteer physician applicants who wish to participate in the state-indemnified volunteer physician program and who are under investigation or who have or have had disciplinary action against a license in the present or in the past.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Making recommendations on licensure policy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committee. The committee oversees the monitoring of licensees under board orders and makes recommendations to the board on these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Establishes, in accordance with Iowa Code section </w:t>
      </w:r>
      <w:hyperlink r:id="rId19">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 a pool of alternate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shall constitute a quorum. Official action, including filing of formal charges or imposition of discipline, requires a majority vote of members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653—1.4</w:t>
      </w:r>
      <w:r>
        <w:rPr>
          <w:rFonts w:ascii="Times New Roman" w:hAnsi="Times New Roman"/>
          <w:b/>
          <w:i w:val="false"/>
          <w:color w:val="000000"/>
          <w:sz w:val="22"/>
        </w:rPr>
        <w:t xml:space="preserve">(17A)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should be addressed to the Executive Director, Iowa Board of Medicine,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653—1.5</w:t>
      </w:r>
      <w:r>
        <w:rPr>
          <w:rFonts w:ascii="Times New Roman" w:hAnsi="Times New Roman"/>
          <w:b/>
          <w:i w:val="false"/>
          <w:color w:val="000000"/>
          <w:sz w:val="22"/>
        </w:rPr>
        <w:t xml:space="preserve">(17A) </w:t>
      </w:r>
      <w:r>
        <w:rPr>
          <w:rFonts w:ascii="Times New Roman" w:hAnsi="Times New Roman"/>
          <w:b/>
          <w:i w:val="false"/>
          <w:color w:val="000000"/>
          <w:sz w:val="22"/>
        </w:rPr>
        <w:t xml:space="preserve">Office hours. </w:t>
      </w:r>
      <w:r>
        <w:rPr>
          <w:rFonts w:ascii="Times New Roman" w:hAnsi="Times New Roman"/>
          <w:b w:val="false"/>
          <w:i w:val="false"/>
          <w:color w:val="000000"/>
          <w:sz w:val="22"/>
        </w:rPr>
        <w:t>The office of the board is open for public business from 8 a.m. to 4:30 p.m., Monday through Friday of each week, except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653—1.6</w:t>
      </w:r>
      <w:r>
        <w:rPr>
          <w:rFonts w:ascii="Times New Roman" w:hAnsi="Times New Roman"/>
          <w:b/>
          <w:i w:val="false"/>
          <w:color w:val="000000"/>
          <w:sz w:val="22"/>
        </w:rPr>
        <w:t xml:space="preserve">(17A)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The board shall meet at least six times per year. Dates and location of board meetings may be obtained from the board’s office or on the board’s website at </w:t>
      </w:r>
      <w:hyperlink r:id="rId2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Except as otherwise provided by statute, all board meetings are open, and the public is permitted to attend the meetings.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w:t>
      </w:r>
      <w:r>
        <w:rPr>
          <w:rFonts w:ascii="Times New Roman" w:hAnsi="Times New Roman"/>
          <w:b/>
          <w:i w:val="false"/>
          <w:color w:val="000000"/>
          <w:sz w:val="22"/>
        </w:rPr>
        <w:t xml:space="preserve">(17A,272C) </w:t>
      </w:r>
      <w:r>
        <w:rPr>
          <w:rFonts w:ascii="Times New Roman" w:hAnsi="Times New Roman"/>
          <w:b/>
          <w:i w:val="false"/>
          <w:color w:val="000000"/>
          <w:sz w:val="22"/>
        </w:rPr>
        <w:t xml:space="preserve">Adoption of uniform and model rules. </w:t>
      </w:r>
      <w:r>
        <w:rPr>
          <w:rFonts w:ascii="Times New Roman" w:hAnsi="Times New Roman"/>
          <w:b w:val="false"/>
          <w:i w:val="false"/>
          <w:color w:val="000000"/>
          <w:sz w:val="22"/>
        </w:rPr>
        <w:t>The board hereby adopts by reference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Uniform Rules on Agency Procedure, </w:t>
      </w:r>
      <w:hyperlink r:id="rId21">
        <w:r>
          <w:rPr>
            <w:rStyle w:val="Hyperlink"/>
            <w:rFonts w:ascii="Times New Roman" w:hAnsi="Times New Roman"/>
            <w:b w:val="false"/>
            <w:i w:val="false"/>
            <w:color w:val="000000"/>
            <w:sz w:val="22"/>
          </w:rPr>
          <w:t>481—Chapter 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481—Chapter 3</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481—Chapter 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481—Chapter 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Military Service, Veteran Reciprocity, and Spouses of Active-Duty Service Members, </w:t>
      </w:r>
      <w:hyperlink r:id="rId26">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Licensing and Child Support Noncompliance, Student Loan Repayment Noncompliance, and Nonpayment of State Debt, </w:t>
      </w:r>
      <w:hyperlink r:id="rId27">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Model Rules for Use of Criminal Convictions in Eligibility Determinations and Initial Licensing Decisions, </w:t>
      </w:r>
      <w:hyperlink r:id="rId28">
        <w:r>
          <w:rPr>
            <w:rStyle w:val="Hyperlink"/>
            <w:rFonts w:ascii="Times New Roman" w:hAnsi="Times New Roman"/>
            <w:b w:val="false"/>
            <w:i w:val="false"/>
            <w:color w:val="000000"/>
            <w:sz w:val="22"/>
          </w:rPr>
          <w:t>481—Chapter 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Model Rules for Licensee Review Committee, </w:t>
      </w:r>
      <w:hyperlink r:id="rId29">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Model Rules for Contested Cases Before Licensing Boards, </w:t>
      </w:r>
      <w:hyperlink r:id="rId3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11/20/51; amended 5/13/64]</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3/13/81, Notice 1/7/81—published 4/1/81, effective 5/6/81]</w:t>
      </w:r>
    </w:p>
    <w:p>
      <w:pPr>
        <w:spacing w:before="0" w:after="0"/>
        <w:ind w:left="120"/>
        <w:jc w:val="center"/>
      </w:pPr>
      <w:r>
        <w:rPr>
          <w:rFonts w:ascii="Times New Roman" w:hAnsi="Times New Roman"/>
          <w:b w:val="false"/>
          <w:i w:val="false"/>
          <w:color w:val="000000"/>
          <w:sz w:val="21"/>
        </w:rPr>
        <w:t>[Filed emergency after Notice 4/28/83, Notice 2/2/83—published 5/25/83, effective 4/28/83]</w:t>
      </w:r>
    </w:p>
    <w:p>
      <w:pPr>
        <w:spacing w:before="0" w:after="0"/>
        <w:ind w:left="120"/>
        <w:jc w:val="center"/>
      </w:pPr>
      <w:r>
        <w:rPr>
          <w:rFonts w:ascii="Times New Roman" w:hAnsi="Times New Roman"/>
          <w:b w:val="false"/>
          <w:i w:val="false"/>
          <w:color w:val="000000"/>
          <w:sz w:val="21"/>
        </w:rPr>
        <w:t>[Filed 7/15/83, Notice 6/8/83—published 8/3/83, effective 9/7/83]</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4/25/89, Notice 2/22/89—published 5/17/89, effective 6/21/89]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1/10/94, Notice 11/24/93—published 2/2/94, effective 3/9/94]</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9/29/00, Notice 6/28/00—published 10/18/00, effective 11/22/00]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11/5/04, Notice 9/29/04—published 11/24/04, effective 12/29/04]</w:t>
      </w:r>
    </w:p>
    <w:p>
      <w:pPr>
        <w:spacing w:before="0" w:after="0"/>
        <w:ind w:left="120"/>
        <w:jc w:val="center"/>
      </w:pPr>
      <w:r>
        <w:rPr>
          <w:rFonts w:ascii="Times New Roman" w:hAnsi="Times New Roman"/>
          <w:b w:val="false"/>
          <w:i w:val="false"/>
          <w:color w:val="000000"/>
          <w:sz w:val="21"/>
        </w:rPr>
        <w:t>[Filed 4/27/07, Notice 2/28/07—published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5599C</w:t>
      </w:r>
      <w:r>
        <w:rPr>
          <w:rFonts w:ascii="Times New Roman" w:hAnsi="Times New Roman"/>
          <w:b w:val="false"/>
          <w:i w:val="false"/>
          <w:color w:val="000000"/>
          <w:sz w:val="21"/>
        </w:rPr>
        <w:t xml:space="preserve"> (Notice ARC 5372C,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9109C</w:t>
      </w:r>
      <w:r>
        <w:rPr>
          <w:rFonts w:ascii="Times New Roman" w:hAnsi="Times New Roman"/>
          <w:b w:val="false"/>
          <w:i w:val="false"/>
          <w:color w:val="000000"/>
          <w:sz w:val="21"/>
        </w:rPr>
        <w:t xml:space="preserve"> (Notice ARC 8659C, IAB 12/25/24)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2A.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148E.pdf" Type="http://schemas.openxmlformats.org/officeDocument/2006/relationships/hyperlink" Id="rId10"/>
    <Relationship TargetMode="External" Target="https://www.legis.iowa.gov/docs/ico/chapter/147.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s://www.legis.iowa.gov/docs/ico/chapter/148E.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47.pdf" Type="http://schemas.openxmlformats.org/officeDocument/2006/relationships/hyperlink" Id="rId16"/>
    <Relationship TargetMode="External" Target="https://www.legis.iowa.gov/docs/ico/chapter/148.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co/chapter/148.2A.pdf" Type="http://schemas.openxmlformats.org/officeDocument/2006/relationships/hyperlink" Id="rId19"/>
    <Relationship TargetMode="External" Target="http://dial.iowa.gov" Type="http://schemas.openxmlformats.org/officeDocument/2006/relationships/hyperlink" Id="rId20"/>
    <Relationship TargetMode="External" Target="https://www.legis.iowa.gov/docs/iac/chapter/481.2.pdf" Type="http://schemas.openxmlformats.org/officeDocument/2006/relationships/hyperlink" Id="rId21"/>
    <Relationship TargetMode="External" Target="https://www.legis.iowa.gov/docs/iac/chapter/481.3.pdf" Type="http://schemas.openxmlformats.org/officeDocument/2006/relationships/hyperlink" Id="rId22"/>
    <Relationship TargetMode="External" Target="https://www.legis.iowa.gov/docs/iac/chapter/481.4.pdf" Type="http://schemas.openxmlformats.org/officeDocument/2006/relationships/hyperlink" Id="rId23"/>
    <Relationship TargetMode="External" Target="https://www.legis.iowa.gov/docs/iac/chapter/481.5.pdf" Type="http://schemas.openxmlformats.org/officeDocument/2006/relationships/hyperlink" Id="rId24"/>
    <Relationship TargetMode="External" Target="https://www.legis.iowa.gov/docs/iac/rule/481.6..pdf" Type="http://schemas.openxmlformats.org/officeDocument/2006/relationships/hyperlink" Id="rId25"/>
    <Relationship TargetMode="External" Target="https://www.legis.iowa.gov/docs/iac/chapter/481.7.pdf" Type="http://schemas.openxmlformats.org/officeDocument/2006/relationships/hyperlink" Id="rId26"/>
    <Relationship TargetMode="External" Target="https://www.legis.iowa.gov/docs/iac/chapter/481.8.pdf" Type="http://schemas.openxmlformats.org/officeDocument/2006/relationships/hyperlink" Id="rId27"/>
    <Relationship TargetMode="External" Target="https://www.legis.iowa.gov/docs/iac/chapter/481.502.pdf" Type="http://schemas.openxmlformats.org/officeDocument/2006/relationships/hyperlink" Id="rId28"/>
    <Relationship TargetMode="External" Target="https://www.legis.iowa.gov/docs/iac/chapter/481.505.pdf" Type="http://schemas.openxmlformats.org/officeDocument/2006/relationships/hyperlink" Id="rId29"/>
    <Relationship TargetMode="External" Target="https://www.legis.iowa.gov/docs/iac/chapter/481.506.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