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w:t>
      </w:r>
    </w:p>
    <w:p>
      <w:pPr>
        <w:spacing w:before="0" w:after="0"/>
        <w:ind w:left="120"/>
        <w:jc w:val="center"/>
      </w:pPr>
      <w:r>
        <w:rPr>
          <w:rFonts w:ascii="Times New Roman" w:hAnsi="Times New Roman"/>
          <w:b w:val="false"/>
          <w:i w:val="false"/>
          <w:color w:val="000000"/>
          <w:sz w:val="21"/>
        </w:rPr>
        <w:t>HEALTHY AND WELL KIDS IN IOWA (HAWKI)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441—86.1</w:t>
      </w:r>
      <w:r>
        <w:rPr>
          <w:rFonts w:ascii="Times New Roman" w:hAnsi="Times New Roman"/>
          <w:b/>
          <w:i w:val="false"/>
          <w:color w:val="000000"/>
          <w:sz w:val="22"/>
        </w:rPr>
        <w:t xml:space="preserve">(514I)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error” </w:t>
      </w:r>
      <w:r>
        <w:rPr>
          <w:rFonts w:ascii="Times New Roman" w:hAnsi="Times New Roman"/>
          <w:b w:val="false"/>
          <w:i w:val="false"/>
          <w:color w:val="000000"/>
          <w:sz w:val="22"/>
        </w:rPr>
        <w:t>means an action of the department that results in incorrect payment of benefits, including premiums paid to a health or dental plan, due to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Misfiled or lost form or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request essential verification necessary to make an accurate eligibility determination.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make timely revision in eligibility following a change in policy requiring application of the policy change as of a specific date.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Failure to issue timely notice to cancel benefits that results in benefits continuing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anyone in the household, including all adults and children under the age of 19 who are counted in the hawki family size according to the modified adjusted gross income methodology and who are listed on the application or renewal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means the fee the department pays monthly to a PHP for each enrolled recipient for the provision of covered medical services whether or not the enrolled recipient received services during the month for which the fee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means any action or inaction of the enrollee or the enrollee’s representative that results in incorrect payment of benefits, including premiums paid to a health or dental plan, because at least one of the following occurred: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enrollee or the enrollee’s representative failed to disclose information or gave a false or misleading statement, oral or written, regarding income or another eligibility factor;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enrollee or the enrollee’s representative failed to timely report a change as defined in rule </w:t>
      </w:r>
      <w:hyperlink r:id="rId5">
        <w:r>
          <w:rPr>
            <w:rStyle w:val="Hyperlink"/>
            <w:rFonts w:ascii="Times New Roman" w:hAnsi="Times New Roman"/>
            <w:b w:val="false"/>
            <w:i w:val="false"/>
            <w:color w:val="000000"/>
            <w:sz w:val="22"/>
          </w:rPr>
          <w:t>441—86.10</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contract between the department and the participating health or dental plan for the provision of medical or dental services to hawki enrollees for whom the participating health or dental plans assume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 xml:space="preserve">means the payment of a premium or copayment as provided for by </w:t>
      </w:r>
      <w:r>
        <w:rPr>
          <w:rFonts w:ascii="Times New Roman" w:hAnsi="Times New Roman"/>
          <w:b w:val="false"/>
          <w:i w:val="false"/>
          <w:color w:val="000000"/>
          <w:sz w:val="22"/>
        </w:rPr>
        <w:t>Title XXI of the federal Social Security Act</w:t>
      </w:r>
      <w:r>
        <w:rPr>
          <w:rFonts w:ascii="Times New Roman" w:hAnsi="Times New Roman"/>
          <w:b w:val="false"/>
          <w:i w:val="false"/>
          <w:color w:val="000000"/>
          <w:sz w:val="22"/>
        </w:rPr>
        <w:t xml:space="preserve">, as amended to August 1, 2024, and Iowa Code section </w:t>
      </w:r>
      <w:hyperlink r:id="rId6">
        <w:r>
          <w:rPr>
            <w:rStyle w:val="Hyperlink"/>
            <w:rFonts w:ascii="Times New Roman" w:hAnsi="Times New Roman"/>
            <w:b w:val="false"/>
            <w:i w:val="false"/>
            <w:color w:val="000000"/>
            <w:sz w:val="22"/>
          </w:rPr>
          <w:t>514I.10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means earned and unearned income of the family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means all or a part of those medical and dental services set forth in rule </w:t>
      </w:r>
      <w:hyperlink r:id="rId7">
        <w:r>
          <w:rPr>
            <w:rStyle w:val="Hyperlink"/>
            <w:rFonts w:ascii="Times New Roman" w:hAnsi="Times New Roman"/>
            <w:b w:val="false"/>
            <w:i w:val="false"/>
            <w:color w:val="000000"/>
            <w:sz w:val="22"/>
          </w:rPr>
          <w:t>441—86.14</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“Dentist” </w:t>
      </w:r>
      <w:r>
        <w:rPr>
          <w:rFonts w:ascii="Times New Roman" w:hAnsi="Times New Roman"/>
          <w:b w:val="false"/>
          <w:i w:val="false"/>
          <w:color w:val="000000"/>
          <w:sz w:val="22"/>
        </w:rPr>
        <w:t>means a person who is licensed to practice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means an individual who meets the criteria for participation in the hawki program as set forth in rule </w:t>
      </w:r>
      <w:hyperlink r:id="rId8">
        <w:r>
          <w:rPr>
            <w:rStyle w:val="Hyperlink"/>
            <w:rFonts w:ascii="Times New Roman" w:hAnsi="Times New Roman"/>
            <w:b w:val="false"/>
            <w:i w:val="false"/>
            <w:color w:val="000000"/>
            <w:sz w:val="22"/>
          </w:rPr>
          <w:t>441—86.2</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dental condition” </w:t>
      </w:r>
      <w:r>
        <w:rPr>
          <w:rFonts w:ascii="Times New Roman" w:hAnsi="Times New Roman"/>
          <w:b w:val="false"/>
          <w:i w:val="false"/>
          <w:color w:val="000000"/>
          <w:sz w:val="22"/>
        </w:rPr>
        <w:t>means an oral condition that occurs suddenly and creates an urgent need for professional consultation or treatment. Emergency conditions may include hemorrhage, infection, pain, broken teeth, knocked-out teeth, or other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condition” </w:t>
      </w:r>
      <w:r>
        <w:rPr>
          <w:rFonts w:ascii="Times New Roman" w:hAnsi="Times New Roman"/>
          <w:b w:val="false"/>
          <w:i w:val="false"/>
          <w:color w:val="000000"/>
          <w:sz w:val="22"/>
        </w:rPr>
        <w:t>means a medical condition manifesting itself by acute symptoms of sufficient severity, including severe pain, such that a prudent layperson, who possesses an average knowledge of health and medicine, could reasonably expect the absence of immediate medical attention to result in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Placing the health of the person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means, with respect to an individual enrolled with a plan, covered inpatient and outpatient services that are furnished by a provider qualified to furnish these services and that are needed to evaluate and stabilize an emergency medical or dental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 child who has been determined eligible for the program and who has been enrolled with a participating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“Enrollment broker” </w:t>
      </w:r>
      <w:r>
        <w:rPr>
          <w:rFonts w:ascii="Times New Roman" w:hAnsi="Times New Roman"/>
          <w:b w:val="false"/>
          <w:i w:val="false"/>
          <w:color w:val="000000"/>
          <w:sz w:val="22"/>
        </w:rPr>
        <w:t>means the entity the department uses to enroll eligible children with a managed care organization. The enrollment broker must be conflict-free and meet all applicable requirements of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anyone in the household, including all adults and children under the age of 19 who are counted in the hawki family size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means the poverty income guidelines revised annually and published in the Federal Register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means the family has demonstrated that one or more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was a serious illness or death of the enrollee or a member of the enrollee’s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was a family emergency or household disaster, such as a fire, flood, or tornado.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was a reason beyond the enrollee’s control.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was a failure to receive the department’s request for a reason not attributable to the enrollee. Lack of a forwarding address is attributable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“Hawki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healthy and well kids in Iowa program implemented in this chapter to provide health and dental care coverage to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coverage” </w:t>
      </w:r>
      <w:r>
        <w:rPr>
          <w:rFonts w:ascii="Times New Roman" w:hAnsi="Times New Roman"/>
          <w:b w:val="false"/>
          <w:i w:val="false"/>
          <w:color w:val="000000"/>
          <w:sz w:val="22"/>
        </w:rPr>
        <w:t>means health insurance coverage as defined in 45 CFR Section 144.103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Marketplace”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“Exchange” </w:t>
      </w:r>
      <w:r>
        <w:rPr>
          <w:rFonts w:ascii="Times New Roman" w:hAnsi="Times New Roman"/>
          <w:b w:val="false"/>
          <w:i w:val="false"/>
          <w:color w:val="000000"/>
          <w:sz w:val="22"/>
        </w:rPr>
        <w:t xml:space="preserve">means the entity authorized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18031(d)(4)(F) (as amended to August 1, 2024) to evaluate and determine eligibility of applicants for Medicaid, the Children’s Health Insurance Program (CHIP), and other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means the first program application or a subsequent application that is not a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for mental diseases” </w:t>
      </w:r>
      <w:r>
        <w:rPr>
          <w:rFonts w:ascii="Times New Roman" w:hAnsi="Times New Roman"/>
          <w:b w:val="false"/>
          <w:i w:val="false"/>
          <w:color w:val="000000"/>
          <w:sz w:val="22"/>
        </w:rPr>
        <w:t>means the same as defined in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Advisory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“MAAC” </w:t>
      </w:r>
      <w:r>
        <w:rPr>
          <w:rFonts w:ascii="Times New Roman" w:hAnsi="Times New Roman"/>
          <w:b w:val="false"/>
          <w:i w:val="false"/>
          <w:color w:val="000000"/>
          <w:sz w:val="22"/>
        </w:rPr>
        <w:t xml:space="preserve">means the advisory body authorized by Iowa Code section </w:t>
      </w:r>
      <w:hyperlink r:id="rId9">
        <w:r>
          <w:rPr>
            <w:rStyle w:val="Hyperlink"/>
            <w:rFonts w:ascii="Times New Roman" w:hAnsi="Times New Roman"/>
            <w:b w:val="false"/>
            <w:i w:val="false"/>
            <w:color w:val="000000"/>
            <w:sz w:val="22"/>
          </w:rPr>
          <w:t>249A.4B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“Modified adjusted gross income” </w:t>
      </w:r>
      <w:r>
        <w:rPr>
          <w:rFonts w:ascii="Times New Roman" w:hAnsi="Times New Roman"/>
          <w:b w:val="false"/>
          <w:i w:val="false"/>
          <w:color w:val="000000"/>
          <w:sz w:val="22"/>
        </w:rPr>
        <w:t xml:space="preserve">means the methodology prescribed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1396a(e)(14) and </w:t>
      </w:r>
      <w:r>
        <w:rPr>
          <w:rFonts w:ascii="Times New Roman" w:hAnsi="Times New Roman"/>
          <w:b w:val="false"/>
          <w:i w:val="false"/>
          <w:color w:val="000000"/>
          <w:sz w:val="22"/>
        </w:rPr>
        <w:t>42 CFR 435.603</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dental plan” </w:t>
      </w:r>
      <w:r>
        <w:rPr>
          <w:rFonts w:ascii="Times New Roman" w:hAnsi="Times New Roman"/>
          <w:b w:val="false"/>
          <w:i w:val="false"/>
          <w:color w:val="000000"/>
          <w:sz w:val="22"/>
        </w:rPr>
        <w:t>means any entity licensed by the division of insurance of the department of insurance and financial services to provide dental insurance in Iowa that has contracted with the department to provide dental insurance coverage to eligible children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health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“PHP” </w:t>
      </w:r>
      <w:r>
        <w:rPr>
          <w:rFonts w:ascii="Times New Roman" w:hAnsi="Times New Roman"/>
          <w:b w:val="false"/>
          <w:i w:val="false"/>
          <w:color w:val="000000"/>
          <w:sz w:val="22"/>
        </w:rPr>
        <w:t>means any entity licensed by the division of insurance of the department of insurance and financial services to provide health insurance in Iowa or an organized delivery system licensed by the director that has contracted with the department to provide health insurance coverage to eligible children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“Passive enrollment process” </w:t>
      </w:r>
      <w:r>
        <w:rPr>
          <w:rFonts w:ascii="Times New Roman" w:hAnsi="Times New Roman"/>
          <w:b w:val="false"/>
          <w:i w:val="false"/>
          <w:color w:val="000000"/>
          <w:sz w:val="22"/>
        </w:rPr>
        <w:t>means the process by which the department assigns a child to a participating health or dental plan and which seeks to preserve existing provider-enrollee relationships, if possible. In the absence of existing relationships, the process ensures that members are equally distributed among all available health or dental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an individual, firm, corporation, association, or institution that is providing or has been approved to provide medical or dental care or services to an enrollee pursuant to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institution” </w:t>
      </w:r>
      <w:r>
        <w:rPr>
          <w:rFonts w:ascii="Times New Roman" w:hAnsi="Times New Roman"/>
          <w:b w:val="false"/>
          <w:i w:val="false"/>
          <w:color w:val="000000"/>
          <w:sz w:val="22"/>
        </w:rPr>
        <w:t>means the same as defined in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means any application used to establish ongoing eligibility, without a break in coverage, for any enrollment period subsequent to an enrollment period established by an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dental-only coverage” </w:t>
      </w:r>
      <w:r>
        <w:rPr>
          <w:rFonts w:ascii="Times New Roman" w:hAnsi="Times New Roman"/>
          <w:b w:val="false"/>
          <w:i w:val="false"/>
          <w:color w:val="000000"/>
          <w:sz w:val="22"/>
        </w:rPr>
        <w:t>means dental care coverage provided to a child who meets the eligibility requirements for the hawki program except that the child is covered by health insurance through an individual or group health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441—86.2</w:t>
      </w:r>
      <w:r>
        <w:rPr>
          <w:rFonts w:ascii="Times New Roman" w:hAnsi="Times New Roman"/>
          <w:b/>
          <w:i w:val="false"/>
          <w:color w:val="000000"/>
          <w:sz w:val="22"/>
        </w:rPr>
        <w:t xml:space="preserve">(514I) </w:t>
      </w:r>
      <w:r>
        <w:rPr>
          <w:rFonts w:ascii="Times New Roman" w:hAnsi="Times New Roman"/>
          <w:b/>
          <w:i w:val="false"/>
          <w:color w:val="000000"/>
          <w:sz w:val="22"/>
        </w:rPr>
        <w:t xml:space="preserve">Eligibility factors. </w:t>
      </w:r>
      <w:r>
        <w:rPr>
          <w:rFonts w:ascii="Times New Roman" w:hAnsi="Times New Roman"/>
          <w:b w:val="false"/>
          <w:i w:val="false"/>
          <w:color w:val="000000"/>
          <w:sz w:val="22"/>
        </w:rPr>
        <w:t>The decision with respect to eligibility will be based primarily on electronic data matches and information furnished by the applicant, the enrollee, or a person acting on behalf of the applicant or enrollee. A child must meet the following eligibility factors to participate in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child shall be under 19 years of age. Eligibility for the program ends the first day of the month following the month of the child’s nineteenth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In determining initial and ongoing eligibility for the hawki program, countable income shall not exceed 302 percent of the federal poverty level for a family of the same size. Countable income shall be determined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Income shall be verified through electronic data matches when possible or otherwise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stubs, tip records, tax records and employers’ statements are acceptable forms of verification of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self-employment income cannot be verified through electronic means, business records or income tax returns from the previous year can be used if they are representative of anticipated earnings. If business records or tax returns from the previous year are not representative of anticipated earnings, an average of the business records or tax returns from the previous two or three years may be used if that average is representative of anticipated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Changes in income. </w:t>
      </w:r>
      <w:r>
        <w:rPr>
          <w:rFonts w:ascii="Times New Roman" w:hAnsi="Times New Roman"/>
          <w:b w:val="false"/>
          <w:i w:val="false"/>
          <w:color w:val="000000"/>
          <w:sz w:val="22"/>
        </w:rPr>
        <w:t xml:space="preserve">Once initial eligibility is established, changes in income during the 12-month enrollment period shall not affect the child’s eligibility to participate in the hawki program. However, if income has decreased, the family may request a review of their income to establish whether they are required to continue paying a premium in accordance with rule </w:t>
      </w:r>
      <w:hyperlink r:id="rId11">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w:t>
      </w: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For purposes of establishing initial and ongoing eligibility under the hawki program, the family size shall be determined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86.2(4)</w:t>
      </w:r>
      <w:r>
        <w:rPr>
          <w:rFonts w:ascii="Times New Roman" w:hAnsi="Times New Roman"/>
          <w:b w:val="false"/>
          <w:i w:val="false"/>
          <w:color w:val="000000"/>
          <w:sz w:val="22"/>
        </w:rPr>
        <w:t> </w:t>
      </w:r>
      <w:r>
        <w:rPr>
          <w:rFonts w:ascii="Times New Roman" w:hAnsi="Times New Roman"/>
          <w:b w:val="false"/>
          <w:i/>
          <w:color w:val="000000"/>
          <w:sz w:val="22"/>
        </w:rPr>
        <w:t xml:space="preserve">Uninsured status. </w:t>
      </w:r>
      <w:r>
        <w:rPr>
          <w:rFonts w:ascii="Times New Roman" w:hAnsi="Times New Roman"/>
          <w:b w:val="false"/>
          <w:i w:val="false"/>
          <w:color w:val="000000"/>
          <w:sz w:val="22"/>
        </w:rPr>
        <w:t>The child must be uninsured as outlined in 42 CFR 457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86.2(5)</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Medicaid. </w:t>
      </w:r>
      <w:r>
        <w:rPr>
          <w:rFonts w:ascii="Times New Roman" w:hAnsi="Times New Roman"/>
          <w:b w:val="false"/>
          <w:i w:val="false"/>
          <w:color w:val="000000"/>
          <w:sz w:val="22"/>
        </w:rPr>
        <w:t xml:space="preserve">The child shall not be receiving Medicaid or eligible to receive Medicaid except when the child would be required to meet a spenddown under the medically needy program in accordance with the provisions of </w:t>
      </w:r>
      <w:hyperlink r:id="rId12">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86.2(6)</w:t>
      </w:r>
      <w:r>
        <w:rPr>
          <w:rFonts w:ascii="Times New Roman" w:hAnsi="Times New Roman"/>
          <w:b w:val="false"/>
          <w:i w:val="false"/>
          <w:color w:val="000000"/>
          <w:sz w:val="22"/>
        </w:rPr>
        <w:t> </w:t>
      </w:r>
      <w:r>
        <w:rPr>
          <w:rFonts w:ascii="Times New Roman" w:hAnsi="Times New Roman"/>
          <w:b w:val="false"/>
          <w:i/>
          <w:color w:val="000000"/>
          <w:sz w:val="22"/>
        </w:rPr>
        <w:t xml:space="preserve">Iowa residency. </w:t>
      </w:r>
      <w:r>
        <w:rPr>
          <w:rFonts w:ascii="Times New Roman" w:hAnsi="Times New Roman"/>
          <w:b w:val="false"/>
          <w:i w:val="false"/>
          <w:color w:val="000000"/>
          <w:sz w:val="22"/>
        </w:rPr>
        <w:t xml:space="preserve">Residency in Iowa is a condition of eligibility for the hawki program. Residency shall be established in accordance with rule </w:t>
      </w:r>
      <w:hyperlink r:id="rId13">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86.2(7)</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immigration status. </w:t>
      </w:r>
      <w:r>
        <w:rPr>
          <w:rFonts w:ascii="Times New Roman" w:hAnsi="Times New Roman"/>
          <w:b w:val="false"/>
          <w:i w:val="false"/>
          <w:color w:val="000000"/>
          <w:sz w:val="22"/>
        </w:rPr>
        <w:t xml:space="preserve">To be eligible for the hawki program, the child shall be a citizen or lawfully admitted immigrant. The criteria established under </w:t>
      </w:r>
      <w:hyperlink r:id="rId14">
        <w:r>
          <w:rPr>
            <w:rStyle w:val="Hyperlink"/>
            <w:rFonts w:ascii="Times New Roman" w:hAnsi="Times New Roman"/>
            <w:b w:val="false"/>
            <w:i w:val="false"/>
            <w:color w:val="000000"/>
            <w:sz w:val="22"/>
          </w:rPr>
          <w:t>441—subrule 75.11(2)</w:t>
        </w:r>
      </w:hyperlink>
      <w:r>
        <w:rPr>
          <w:rFonts w:ascii="Times New Roman" w:hAnsi="Times New Roman"/>
          <w:b w:val="false"/>
          <w:i w:val="false"/>
          <w:color w:val="000000"/>
          <w:sz w:val="22"/>
        </w:rPr>
        <w:t xml:space="preserve"> shall be followed when determining whether a lawfully admitted immigrant child is eligible to participate in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citizenship or immigration status of the parents or other responsible person shall not be considered when determining the eligibility of the child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shall attest to their citizenship status by signing the application form, which contains a citizenship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child under the age of 19 is not living independently, the child’s parent or other responsible person with whom the child lives shall be responsible for attesting to the child’s citizenship or immigration status and for providing any required proof of the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
        <w:r>
          <w:rPr>
            <w:rStyle w:val="Hyperlink"/>
            <w:rFonts w:ascii="Times New Roman" w:hAnsi="Times New Roman"/>
            <w:b w:val="false"/>
            <w:i w:val="false"/>
            <w:color w:val="000000"/>
            <w:sz w:val="22"/>
          </w:rPr>
          <w:t>441—paragraph 75.11(2)</w:t>
        </w:r>
      </w:hyperlink>
      <w:r>
        <w:rPr>
          <w:rFonts w:ascii="Times New Roman" w:hAnsi="Times New Roman"/>
          <w:b w:val="false"/>
          <w:i/>
          <w:color w:val="000000"/>
          <w:sz w:val="22"/>
        </w:rPr>
        <w:t>“f,”</w:t>
      </w:r>
      <w:r>
        <w:rPr>
          <w:rFonts w:ascii="Times New Roman" w:hAnsi="Times New Roman"/>
          <w:b w:val="false"/>
          <w:i w:val="false"/>
          <w:color w:val="000000"/>
          <w:sz w:val="22"/>
        </w:rPr>
        <w:t xml:space="preserve"> applicants or enrollees for whom an attestation of United States citizenship has been made pursuant to paragraph </w:t>
      </w:r>
      <w:hyperlink r:id="rId16">
        <w:r>
          <w:rPr>
            <w:rStyle w:val="Hyperlink"/>
            <w:rFonts w:ascii="Times New Roman" w:hAnsi="Times New Roman"/>
            <w:b w:val="false"/>
            <w:i w:val="false"/>
            <w:color w:val="000000"/>
            <w:sz w:val="22"/>
          </w:rPr>
          <w:t>86.2(7)</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citizenship or nationality as defined in 441—paragraphs </w:t>
      </w:r>
      <w:hyperlink r:id="rId17">
        <w:r>
          <w:rPr>
            <w:rStyle w:val="Hyperlink"/>
            <w:rFonts w:ascii="Times New Roman" w:hAnsi="Times New Roman"/>
            <w:b w:val="false"/>
            <w:i w:val="false"/>
            <w:color w:val="000000"/>
            <w:sz w:val="22"/>
          </w:rPr>
          <w:t>75.11(2)</w:t>
        </w:r>
        <w:r>
          <w:rPr>
            <w:rFonts w:ascii="Times New Roman" w:hAnsi="Times New Roman"/>
            <w:b w:val="false"/>
            <w:i/>
            <w:color w:val="000000"/>
            <w:sz w:val="22"/>
          </w:rPr>
          <w:t>“d,”</w:t>
        </w:r>
      </w:hyperlink>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enrollee shall have a reasonable opportunity period to obtain and provide proof of citizenship and nationality in accordance with </w:t>
      </w:r>
      <w:hyperlink r:id="rId18">
        <w:r>
          <w:rPr>
            <w:rStyle w:val="Hyperlink"/>
            <w:rFonts w:ascii="Times New Roman" w:hAnsi="Times New Roman"/>
            <w:b w:val="false"/>
            <w:i w:val="false"/>
            <w:color w:val="000000"/>
            <w:sz w:val="22"/>
          </w:rPr>
          <w:t>441—paragraph 75.11(2)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provide acceptable documentary evidence for a child shall not affect the eligibility of other children in the family for whom acceptable documentary evidence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86.2(8)</w:t>
      </w:r>
      <w:r>
        <w:rPr>
          <w:rFonts w:ascii="Times New Roman" w:hAnsi="Times New Roman"/>
          <w:b w:val="false"/>
          <w:i w:val="false"/>
          <w:color w:val="000000"/>
          <w:sz w:val="22"/>
        </w:rPr>
        <w:t> </w:t>
      </w:r>
      <w:r>
        <w:rPr>
          <w:rFonts w:ascii="Times New Roman" w:hAnsi="Times New Roman"/>
          <w:b w:val="false"/>
          <w:i/>
          <w:color w:val="000000"/>
          <w:sz w:val="22"/>
        </w:rPr>
        <w:t xml:space="preserve">Dependents of state of Iowa employees. </w:t>
      </w:r>
      <w:r>
        <w:rPr>
          <w:rFonts w:ascii="Times New Roman" w:hAnsi="Times New Roman"/>
          <w:b w:val="false"/>
          <w:i w:val="false"/>
          <w:color w:val="000000"/>
          <w:sz w:val="22"/>
        </w:rPr>
        <w:t>The child shall not be eligible for the hawki program if the child is eligible for health insurance coverage as a dependent of a state of Iowa employee unless the state contributes only a nominal amount toward the cost of dependent coverage. “Nominal amount” means $10 or less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86.2(9)</w:t>
      </w:r>
      <w:r>
        <w:rPr>
          <w:rFonts w:ascii="Times New Roman" w:hAnsi="Times New Roman"/>
          <w:b w:val="false"/>
          <w:i w:val="false"/>
          <w:color w:val="000000"/>
          <w:sz w:val="22"/>
        </w:rPr>
        <w:t> </w:t>
      </w:r>
      <w:r>
        <w:rPr>
          <w:rFonts w:ascii="Times New Roman" w:hAnsi="Times New Roman"/>
          <w:b w:val="false"/>
          <w:i/>
          <w:color w:val="000000"/>
          <w:sz w:val="22"/>
        </w:rPr>
        <w:t xml:space="preserve">Inmates of public institutions. </w:t>
      </w:r>
      <w:r>
        <w:rPr>
          <w:rFonts w:ascii="Times New Roman" w:hAnsi="Times New Roman"/>
          <w:b w:val="false"/>
          <w:i w:val="false"/>
          <w:color w:val="000000"/>
          <w:sz w:val="22"/>
        </w:rPr>
        <w:t>The child shall not be an inmate of a public institution as defined at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86.2(10)</w:t>
      </w:r>
      <w:r>
        <w:rPr>
          <w:rFonts w:ascii="Times New Roman" w:hAnsi="Times New Roman"/>
          <w:b w:val="false"/>
          <w:i w:val="false"/>
          <w:color w:val="000000"/>
          <w:sz w:val="22"/>
        </w:rPr>
        <w:t> </w:t>
      </w:r>
      <w:r>
        <w:rPr>
          <w:rFonts w:ascii="Times New Roman" w:hAnsi="Times New Roman"/>
          <w:b w:val="false"/>
          <w:i/>
          <w:color w:val="000000"/>
          <w:sz w:val="22"/>
        </w:rPr>
        <w:t xml:space="preserve">Inmates of institutions for mental disease. </w:t>
      </w:r>
      <w:r>
        <w:rPr>
          <w:rFonts w:ascii="Times New Roman" w:hAnsi="Times New Roman"/>
          <w:b w:val="false"/>
          <w:i w:val="false"/>
          <w:color w:val="000000"/>
          <w:sz w:val="22"/>
        </w:rPr>
        <w:t>At the time of application or annual review of eligibility, the child shall not be an inmate of an institution for mental disease as defined at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86.2(11)</w:t>
      </w:r>
      <w:r>
        <w:rPr>
          <w:rFonts w:ascii="Times New Roman" w:hAnsi="Times New Roman"/>
          <w:b w:val="false"/>
          <w:i w:val="false"/>
          <w:color w:val="000000"/>
          <w:sz w:val="22"/>
        </w:rPr>
        <w:t> </w:t>
      </w:r>
      <w:r>
        <w:rPr>
          <w:rFonts w:ascii="Times New Roman" w:hAnsi="Times New Roman"/>
          <w:b w:val="false"/>
          <w:i/>
          <w:color w:val="000000"/>
          <w:sz w:val="22"/>
        </w:rPr>
        <w:t xml:space="preserve">Furnishing a social security number. </w:t>
      </w:r>
      <w:r>
        <w:rPr>
          <w:rFonts w:ascii="Times New Roman" w:hAnsi="Times New Roman"/>
          <w:b w:val="false"/>
          <w:i w:val="false"/>
          <w:color w:val="000000"/>
          <w:sz w:val="22"/>
        </w:rPr>
        <w:t xml:space="preserve">As a condition of eligibility and in accordance with rule </w:t>
      </w:r>
      <w:hyperlink r:id="rId19">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 a social security number or proof of application for the number if the number has not been issued or is not known must be furnished for a child for whom coverage under hawki is being requested or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441—86.3</w:t>
      </w:r>
      <w:r>
        <w:rPr>
          <w:rFonts w:ascii="Times New Roman" w:hAnsi="Times New Roman"/>
          <w:b/>
          <w:i w:val="false"/>
          <w:color w:val="000000"/>
          <w:sz w:val="22"/>
        </w:rPr>
        <w:t xml:space="preserve">(514I)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86.3(1)</w:t>
      </w:r>
      <w:r>
        <w:rPr>
          <w:rFonts w:ascii="Times New Roman" w:hAnsi="Times New Roman"/>
          <w:b w:val="false"/>
          <w:i w:val="false"/>
          <w:color w:val="000000"/>
          <w:sz w:val="22"/>
        </w:rPr>
        <w:t> </w:t>
      </w:r>
      <w:r>
        <w:rPr>
          <w:rFonts w:ascii="Times New Roman" w:hAnsi="Times New Roman"/>
          <w:b w:val="false"/>
          <w:i/>
          <w:color w:val="000000"/>
          <w:sz w:val="22"/>
        </w:rPr>
        <w:t xml:space="preserve">Who may apply. </w:t>
      </w:r>
      <w:r>
        <w:rPr>
          <w:rFonts w:ascii="Times New Roman" w:hAnsi="Times New Roman"/>
          <w:b w:val="false"/>
          <w:i w:val="false"/>
          <w:color w:val="000000"/>
          <w:sz w:val="22"/>
        </w:rPr>
        <w:t xml:space="preserve">Each person wishing to do so shall have the opportunity to apply for the hawki program in accordance with rule </w:t>
      </w:r>
      <w:hyperlink r:id="rId20">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An application for the hawki program may be filed with the department through an Internet website, by telephone, through other electronic means, or through an exchange, disproportionate share hospital, federally qualified health center, or other facility in which outstationing activities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86.3(3)</w:t>
      </w:r>
      <w:r>
        <w:rPr>
          <w:rFonts w:ascii="Times New Roman" w:hAnsi="Times New Roman"/>
          <w:b w:val="false"/>
          <w:i w:val="false"/>
          <w:color w:val="000000"/>
          <w:sz w:val="22"/>
        </w:rPr>
        <w:t> </w:t>
      </w:r>
      <w:r>
        <w:rPr>
          <w:rFonts w:ascii="Times New Roman" w:hAnsi="Times New Roman"/>
          <w:b w:val="false"/>
          <w:i/>
          <w:color w:val="000000"/>
          <w:sz w:val="22"/>
        </w:rPr>
        <w:t xml:space="preserve">Right to withdraw application. </w:t>
      </w:r>
      <w:r>
        <w:rPr>
          <w:rFonts w:ascii="Times New Roman" w:hAnsi="Times New Roman"/>
          <w:b w:val="false"/>
          <w:i w:val="false"/>
          <w:color w:val="000000"/>
          <w:sz w:val="22"/>
        </w:rPr>
        <w:t>After an application has been filed, the applicant may withdraw the application at any time prior to the eligibility determination. Requests for voluntary withdrawal of the application will be documented, and the applicant will be sent a notice of decision confirming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86.3(4)</w:t>
      </w:r>
      <w:r>
        <w:rPr>
          <w:rFonts w:ascii="Times New Roman" w:hAnsi="Times New Roman"/>
          <w:b w:val="false"/>
          <w:i w:val="false"/>
          <w:color w:val="000000"/>
          <w:sz w:val="22"/>
        </w:rPr>
        <w:t> </w:t>
      </w:r>
      <w:r>
        <w:rPr>
          <w:rFonts w:ascii="Times New Roman" w:hAnsi="Times New Roman"/>
          <w:b w:val="false"/>
          <w:i/>
          <w:color w:val="000000"/>
          <w:sz w:val="22"/>
        </w:rPr>
        <w:t xml:space="preserve">Application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will not be required when a child becomes ineligible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will not be required when an eligible child is added to an existing hawki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application will not be required when a child moves between supplemental dental-only coverage as specified in rule </w:t>
      </w:r>
      <w:hyperlink r:id="rId21">
        <w:r>
          <w:rPr>
            <w:rStyle w:val="Hyperlink"/>
            <w:rFonts w:ascii="Times New Roman" w:hAnsi="Times New Roman"/>
            <w:b w:val="false"/>
            <w:i w:val="false"/>
            <w:color w:val="000000"/>
            <w:sz w:val="22"/>
          </w:rPr>
          <w:t>441—86.20</w:t>
        </w:r>
      </w:hyperlink>
      <w:r>
        <w:rPr>
          <w:rFonts w:ascii="Times New Roman" w:hAnsi="Times New Roman"/>
          <w:b w:val="false"/>
          <w:i w:val="false"/>
          <w:color w:val="000000"/>
          <w:sz w:val="22"/>
        </w:rPr>
        <w:t>(514I) and full medical and dental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86.3(5)</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verification procedure. </w:t>
      </w:r>
      <w:r>
        <w:rPr>
          <w:rFonts w:ascii="Times New Roman" w:hAnsi="Times New Roman"/>
          <w:b w:val="false"/>
          <w:i w:val="false"/>
          <w:color w:val="000000"/>
          <w:sz w:val="22"/>
        </w:rPr>
        <w:t>The eligibility decision will be based primarily on information furnished by the applicant, enrollee, or person acting on behalf of the applicant or enrollee and verified through electronic data matches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enrollee, or person acting on behalf of the applicant or enrollee will be notified in writing of additional information or verification that is required to establish eligibility. The notice may be provided personally, by U.S. mail, by email, or by facsimile.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supply the information or verification or refusal to authorize the department to secure the information will be a basis for rejection of the application or cancellation of coverage. If the requested information or authorization is received within 14 calendar days of the notice of decision on an application or within 14 calendar days of the effective date of cancellation for enrollees, the information or authorization will be acted upon as though it had been provided timely. If the fourteenth calendar day falls on a weekend or state holiday, the applicant or enrollee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enrollee, or person acting on behalf of the applicant or enrollee will have 10 working days to supply the information or verification requested. The due date may be extended for a reasonable period when the applicant, enrollee, or person acting on behalf of the applicant or enrollee is making every effort but is unable to secure the required information or verification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86.3(6)</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Decisions regarding the applicant’s eligibility to participate in the hawki program will be made within 45 working days from the date of receiving the completed application and all necessary information and verification unless the application cannot be processed for reasons beyond the control of the department. Day one of the 45-day period starts the first working day following the date of receipt of a completed application and all necessary information and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86.3(7)</w:t>
      </w:r>
      <w:r>
        <w:rPr>
          <w:rFonts w:ascii="Times New Roman" w:hAnsi="Times New Roman"/>
          <w:b w:val="false"/>
          <w:i w:val="false"/>
          <w:color w:val="000000"/>
          <w:sz w:val="22"/>
        </w:rPr>
        <w:t> </w:t>
      </w:r>
      <w:r>
        <w:rPr>
          <w:rFonts w:ascii="Times New Roman" w:hAnsi="Times New Roman"/>
          <w:b w:val="false"/>
          <w:i/>
          <w:color w:val="000000"/>
          <w:sz w:val="22"/>
        </w:rPr>
        <w:t xml:space="preserve">Applicant cooperation. </w:t>
      </w:r>
      <w:r>
        <w:rPr>
          <w:rFonts w:ascii="Times New Roman" w:hAnsi="Times New Roman"/>
          <w:b w:val="false"/>
          <w:i w:val="false"/>
          <w:color w:val="000000"/>
          <w:sz w:val="22"/>
        </w:rPr>
        <w:t>An applicant must cooperate with the department in the application process, which may include providing verification or signing documents. Failure to cooperate with the application process shall serve as basis for a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86.3(8)</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When the department has established that all  the funds appropriated for this program are obligated, all subsequent applications for hawki coverage will be denied unless Medicaid eligibility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a notice of decision to the applicant that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meets the eligibility requirements but that no funds are available and that the applicant will be placed on a waiting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meet eligibility requirements, in which case the applicant will not be put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an applicant’s being denied or placed on the waiting list, it must be established that the child is not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be placed on the waiting list on the basis of the date an identifiable application form specified in rule </w:t>
      </w:r>
      <w:hyperlink r:id="rId22">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on the same day, applicants will be placed on the waiting list on the basis of the day of the month of the oldest child’s birthday, the lowest number being first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subsequent ties will be determined by the month of birth of the oldest child,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funds become available, applicants will be selected from the waiting list based on the order in which their names appear on the list and will be notified of their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being notified of the availability of funding, the applicant shall have 15 working days to confirm the applicant’s continued interest in applying for the program and to provide any information necessary to establish eligibility. If the applicant does not confirm continued interest in applying for the program and does not provide any additional information necessary to establish eligibility within 15 working days, the applicant’s name will be deleted from the waiting list and the next applicant on the waiting list will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441—86.4</w:t>
      </w:r>
      <w:r>
        <w:rPr>
          <w:rFonts w:ascii="Times New Roman" w:hAnsi="Times New Roman"/>
          <w:b/>
          <w:i w:val="false"/>
          <w:color w:val="000000"/>
          <w:sz w:val="22"/>
        </w:rPr>
        <w:t xml:space="preserve">(514I) </w:t>
      </w:r>
      <w:r>
        <w:rPr>
          <w:rFonts w:ascii="Times New Roman" w:hAnsi="Times New Roman"/>
          <w:b/>
          <w:i w:val="false"/>
          <w:color w:val="000000"/>
          <w:sz w:val="22"/>
        </w:rPr>
        <w:t xml:space="preserve">Coordination with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86.4(1)</w:t>
      </w:r>
      <w:r>
        <w:rPr>
          <w:rFonts w:ascii="Times New Roman" w:hAnsi="Times New Roman"/>
          <w:b w:val="false"/>
          <w:i w:val="false"/>
          <w:color w:val="000000"/>
          <w:sz w:val="22"/>
        </w:rPr>
        <w:t> </w:t>
      </w:r>
      <w:r>
        <w:rPr>
          <w:rFonts w:ascii="Times New Roman" w:hAnsi="Times New Roman"/>
          <w:b w:val="false"/>
          <w:i/>
          <w:color w:val="000000"/>
          <w:sz w:val="22"/>
        </w:rPr>
        <w:t xml:space="preserve">Hawki applicant eligible for Medicaid. </w:t>
      </w:r>
      <w:r>
        <w:rPr>
          <w:rFonts w:ascii="Times New Roman" w:hAnsi="Times New Roman"/>
          <w:b w:val="false"/>
          <w:i w:val="false"/>
          <w:color w:val="000000"/>
          <w:sz w:val="22"/>
        </w:rPr>
        <w:t xml:space="preserve">At the time of initial application, if it is determined the child is eligible for Medicaid in accordance with the provisions of rule </w:t>
      </w:r>
      <w:hyperlink r:id="rId23">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4">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86.4(2)</w:t>
      </w:r>
      <w:r>
        <w:rPr>
          <w:rFonts w:ascii="Times New Roman" w:hAnsi="Times New Roman"/>
          <w:b w:val="false"/>
          <w:i w:val="false"/>
          <w:color w:val="000000"/>
          <w:sz w:val="22"/>
        </w:rPr>
        <w:t> </w:t>
      </w:r>
      <w:r>
        <w:rPr>
          <w:rFonts w:ascii="Times New Roman" w:hAnsi="Times New Roman"/>
          <w:b w:val="false"/>
          <w:i/>
          <w:color w:val="000000"/>
          <w:sz w:val="22"/>
        </w:rPr>
        <w:t xml:space="preserve">Hawki enrollee eligible for Medicaid. </w:t>
      </w:r>
      <w:r>
        <w:rPr>
          <w:rFonts w:ascii="Times New Roman" w:hAnsi="Times New Roman"/>
          <w:b w:val="false"/>
          <w:i w:val="false"/>
          <w:color w:val="000000"/>
          <w:sz w:val="22"/>
        </w:rPr>
        <w:t xml:space="preserve">At the time of the annual review, if the child is determined eligible for Medicaid in accordance with the provisions of rule </w:t>
      </w:r>
      <w:hyperlink r:id="rId2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6">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Medicaid effective the first day following the expiration of the 12-month hawki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86.4(3)</w:t>
      </w:r>
      <w:r>
        <w:rPr>
          <w:rFonts w:ascii="Times New Roman" w:hAnsi="Times New Roman"/>
          <w:b w:val="false"/>
          <w:i w:val="false"/>
          <w:color w:val="000000"/>
          <w:sz w:val="22"/>
        </w:rPr>
        <w:t> </w:t>
      </w:r>
      <w:r>
        <w:rPr>
          <w:rFonts w:ascii="Times New Roman" w:hAnsi="Times New Roman"/>
          <w:b w:val="false"/>
          <w:i/>
          <w:color w:val="000000"/>
          <w:sz w:val="22"/>
        </w:rPr>
        <w:t xml:space="preserve">Medicaid member becomes ineligible. </w:t>
      </w:r>
      <w:r>
        <w:rPr>
          <w:rFonts w:ascii="Times New Roman" w:hAnsi="Times New Roman"/>
          <w:b w:val="false"/>
          <w:i w:val="false"/>
          <w:color w:val="000000"/>
          <w:sz w:val="22"/>
        </w:rPr>
        <w:t xml:space="preserve">If a child becomes ineligible for Medicaid under the provisions of rule </w:t>
      </w:r>
      <w:hyperlink r:id="rId2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 down under the medically needy program at </w:t>
      </w:r>
      <w:hyperlink r:id="rId28">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the hawki program if otherwise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441—86.5</w:t>
      </w:r>
      <w:r>
        <w:rPr>
          <w:rFonts w:ascii="Times New Roman" w:hAnsi="Times New Roman"/>
          <w:b/>
          <w:i w:val="false"/>
          <w:color w:val="000000"/>
          <w:sz w:val="22"/>
        </w:rPr>
        <w:t xml:space="preserve">(514I) </w:t>
      </w:r>
      <w:r>
        <w:rPr>
          <w:rFonts w:ascii="Times New Roman" w:hAnsi="Times New Roman"/>
          <w:b/>
          <w:i w:val="false"/>
          <w:color w:val="000000"/>
          <w:sz w:val="22"/>
        </w:rPr>
        <w:t xml:space="preserve">Effective date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Coverage for a child who is determined eligible for the hawki program on the basis of an initial application for either hawki or Medicaid will be effective the first day of the month following the month in which the application is filed, regardless of the day of the month the application is filed. However, when the child does not meet the provisions of paragraph </w:t>
      </w:r>
      <w:hyperlink r:id="rId29">
        <w:r>
          <w:rPr>
            <w:rStyle w:val="Hyperlink"/>
            <w:rFonts w:ascii="Times New Roman" w:hAnsi="Times New Roman"/>
            <w:b w:val="false"/>
            <w:i w:val="false"/>
            <w:color w:val="000000"/>
            <w:sz w:val="22"/>
          </w:rPr>
          <w:t>86.2(4)</w:t>
        </w:r>
      </w:hyperlink>
      <w:r>
        <w:rPr>
          <w:rFonts w:ascii="Times New Roman" w:hAnsi="Times New Roman"/>
          <w:b w:val="false"/>
          <w:i/>
          <w:color w:val="000000"/>
          <w:sz w:val="22"/>
        </w:rPr>
        <w:t>“a,”</w:t>
      </w:r>
      <w:r>
        <w:rPr>
          <w:rFonts w:ascii="Times New Roman" w:hAnsi="Times New Roman"/>
          <w:b w:val="false"/>
          <w:i w:val="false"/>
          <w:color w:val="000000"/>
          <w:sz w:val="22"/>
        </w:rPr>
        <w:t xml:space="preserve"> coverage shall be effective the first day of the month following the month in which health insurance coverage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86.5(2)</w:t>
      </w:r>
      <w:r>
        <w:rPr>
          <w:rFonts w:ascii="Times New Roman" w:hAnsi="Times New Roman"/>
          <w:b w:val="false"/>
          <w:i w:val="false"/>
          <w:color w:val="000000"/>
          <w:sz w:val="22"/>
        </w:rPr>
        <w:t> </w:t>
      </w:r>
      <w:r>
        <w:rPr>
          <w:rFonts w:ascii="Times New Roman" w:hAnsi="Times New Roman"/>
          <w:b w:val="false"/>
          <w:i/>
          <w:color w:val="000000"/>
          <w:sz w:val="22"/>
        </w:rPr>
        <w:t xml:space="preserve">Referrals from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Cancellation of Medicaid. Coverage for children who are determined eligible for the hawki program due to cancellation of Medicaid benefits will be effective the first day of the month after Medicaid eligibility is lost in order to ensure that there is no break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lost Medicaid eligibility solely because of the loss of income disregards from the implementation of the modified adjusted gross income methodology, the child may be covered under the hawki program for up to 12 months following the loss of Medicaid eligibility, regardless of the presence of other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86.5(3)</w:t>
      </w:r>
      <w:r>
        <w:rPr>
          <w:rFonts w:ascii="Times New Roman" w:hAnsi="Times New Roman"/>
          <w:b w:val="false"/>
          <w:i w:val="false"/>
          <w:color w:val="000000"/>
          <w:sz w:val="22"/>
        </w:rPr>
        <w:t> </w:t>
      </w:r>
      <w:r>
        <w:rPr>
          <w:rFonts w:ascii="Times New Roman" w:hAnsi="Times New Roman"/>
          <w:b w:val="false"/>
          <w:i/>
          <w:color w:val="000000"/>
          <w:sz w:val="22"/>
        </w:rPr>
        <w:t xml:space="preserve">Annual renewals. </w:t>
      </w:r>
      <w:r>
        <w:rPr>
          <w:rFonts w:ascii="Times New Roman" w:hAnsi="Times New Roman"/>
          <w:b w:val="false"/>
          <w:i w:val="false"/>
          <w:color w:val="000000"/>
          <w:sz w:val="22"/>
        </w:rPr>
        <w:t>Coverage for children who are determined eligible for the hawki program on the basis of an annual renewal will be effective the first day of the month following the month in which the previous enrollment period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86.5(4)</w:t>
      </w:r>
      <w:r>
        <w:rPr>
          <w:rFonts w:ascii="Times New Roman" w:hAnsi="Times New Roman"/>
          <w:b w:val="false"/>
          <w:i w:val="false"/>
          <w:color w:val="000000"/>
          <w:sz w:val="22"/>
        </w:rPr>
        <w:t> </w:t>
      </w:r>
      <w:r>
        <w:rPr>
          <w:rFonts w:ascii="Times New Roman" w:hAnsi="Times New Roman"/>
          <w:b w:val="false"/>
          <w:i/>
          <w:color w:val="000000"/>
          <w:sz w:val="22"/>
        </w:rPr>
        <w:t xml:space="preserve">Children added to an existing hawki enrollment period. </w:t>
      </w:r>
      <w:r>
        <w:rPr>
          <w:rFonts w:ascii="Times New Roman" w:hAnsi="Times New Roman"/>
          <w:b w:val="false"/>
          <w:i w:val="false"/>
          <w:color w:val="000000"/>
          <w:sz w:val="22"/>
        </w:rPr>
        <w:t>Coverage for children who are determined eligible for the hawki program on the basis of a request from the family to add the child to an existing enrollment period will be effective the first day of the month following the month in which the request was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441—86.6</w:t>
      </w:r>
      <w:r>
        <w:rPr>
          <w:rFonts w:ascii="Times New Roman" w:hAnsi="Times New Roman"/>
          <w:b/>
          <w:i w:val="false"/>
          <w:color w:val="000000"/>
          <w:sz w:val="22"/>
        </w:rPr>
        <w:t xml:space="preserve">(514I) </w:t>
      </w:r>
      <w:r>
        <w:rPr>
          <w:rFonts w:ascii="Times New Roman" w:hAnsi="Times New Roman"/>
          <w:b/>
          <w:i w:val="false"/>
          <w:color w:val="000000"/>
          <w:sz w:val="22"/>
        </w:rPr>
        <w:t xml:space="preserve">Selection of a plan. </w:t>
      </w:r>
      <w:r>
        <w:rPr>
          <w:rFonts w:ascii="Times New Roman" w:hAnsi="Times New Roman"/>
          <w:b w:val="false"/>
          <w:i w:val="false"/>
          <w:color w:val="000000"/>
          <w:sz w:val="22"/>
        </w:rPr>
        <w:t xml:space="preserve">Upon the child’s eligibility effective date, the child will be assigned to a health or dental plan using the department’s passive enrollment process. The enrollee may change plans only at the time of the annual review unless the provisions of paragraph </w:t>
      </w:r>
      <w:hyperlink r:id="rId30">
        <w:r>
          <w:rPr>
            <w:rStyle w:val="Hyperlink"/>
            <w:rFonts w:ascii="Times New Roman" w:hAnsi="Times New Roman"/>
            <w:b w:val="false"/>
            <w:i w:val="false"/>
            <w:color w:val="000000"/>
            <w:sz w:val="22"/>
          </w:rPr>
          <w:t>86.6(1)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subrule </w:t>
      </w:r>
      <w:hyperlink r:id="rId31">
        <w:r>
          <w:rPr>
            <w:rStyle w:val="Hyperlink"/>
            <w:rFonts w:ascii="Times New Roman" w:hAnsi="Times New Roman"/>
            <w:b w:val="false"/>
            <w:i w:val="false"/>
            <w:color w:val="000000"/>
            <w:sz w:val="22"/>
          </w:rPr>
          <w:t>86.6(2)</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86.6(1)</w:t>
      </w:r>
      <w:r>
        <w:rPr>
          <w:rFonts w:ascii="Times New Roman" w:hAnsi="Times New Roman"/>
          <w:b w:val="false"/>
          <w:i w:val="false"/>
          <w:color w:val="000000"/>
          <w:sz w:val="22"/>
        </w:rPr>
        <w:t> </w:t>
      </w:r>
      <w:r>
        <w:rPr>
          <w:rFonts w:ascii="Times New Roman" w:hAnsi="Times New Roman"/>
          <w:b w:val="false"/>
          <w:i/>
          <w:color w:val="000000"/>
          <w:sz w:val="22"/>
        </w:rPr>
        <w:t xml:space="preserve">Period of enrollment. </w:t>
      </w:r>
      <w:r>
        <w:rPr>
          <w:rFonts w:ascii="Times New Roman" w:hAnsi="Times New Roman"/>
          <w:b w:val="false"/>
          <w:i w:val="false"/>
          <w:color w:val="000000"/>
          <w:sz w:val="22"/>
        </w:rPr>
        <w:t>Once enrolled in a health or dental plan, the child will remain enrolled in the health or dental plan for a period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 child may be enrolled in a plan for less than 12 months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disenrolled in accordance with the provisions of rule </w:t>
      </w:r>
      <w:hyperlink r:id="rId32">
        <w:r>
          <w:rPr>
            <w:rStyle w:val="Hyperlink"/>
            <w:rFonts w:ascii="Times New Roman" w:hAnsi="Times New Roman"/>
            <w:b w:val="false"/>
            <w:i w:val="false"/>
            <w:color w:val="000000"/>
            <w:sz w:val="22"/>
          </w:rPr>
          <w:t>441—86.7</w:t>
        </w:r>
      </w:hyperlink>
      <w:r>
        <w:rPr>
          <w:rFonts w:ascii="Times New Roman" w:hAnsi="Times New Roman"/>
          <w:b w:val="false"/>
          <w:i w:val="false"/>
          <w:color w:val="000000"/>
          <w:sz w:val="22"/>
        </w:rPr>
        <w:t>(514I). If a child is disenrolled from the health or dental plan and subsequently reapplies before the end of the original 12-month enrollment period, the child will be enrolled in the health or dental plan from which the child was originally disenrolled.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added to an existing enrollment. When a family requests to add an eligible child, the child will be enrolled for the months remaining in the current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to change plans is accepted in accordance with paragraph </w:t>
      </w:r>
      <w:hyperlink r:id="rId33">
        <w:r>
          <w:rPr>
            <w:rStyle w:val="Hyperlink"/>
            <w:rFonts w:ascii="Times New Roman" w:hAnsi="Times New Roman"/>
            <w:b w:val="false"/>
            <w:i w:val="false"/>
            <w:color w:val="000000"/>
            <w:sz w:val="22"/>
          </w:rPr>
          <w:t>86.6(1)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to change plan. </w:t>
      </w:r>
      <w:r>
        <w:rPr>
          <w:rFonts w:ascii="Times New Roman" w:hAnsi="Times New Roman"/>
          <w:b w:val="false"/>
          <w:i w:val="false"/>
          <w:color w:val="000000"/>
          <w:sz w:val="22"/>
        </w:rPr>
        <w:t>An enrollee may ask to change the health or dental plan either verbally or in writing to the enrollment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90 days following the date of the enrollee’s initial enrollment with the health or dental plan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for cause. “Cause” as defined in </w:t>
      </w:r>
      <w:r>
        <w:rPr>
          <w:rFonts w:ascii="Times New Roman" w:hAnsi="Times New Roman"/>
          <w:b w:val="false"/>
          <w:i w:val="false"/>
          <w:color w:val="000000"/>
          <w:sz w:val="22"/>
        </w:rPr>
        <w:t>42 CFR 438.56(d)</w:t>
      </w:r>
      <w:r>
        <w:rPr>
          <w:rFonts w:ascii="Times New Roman" w:hAnsi="Times New Roman"/>
          <w:b w:val="false"/>
          <w:i w:val="false"/>
          <w:color w:val="000000"/>
          <w:sz w:val="22"/>
        </w:rPr>
        <w:t>(2) as amended to August 1, 2024,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enrollee moves out of the plan’s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Because of moral or religious objections, the plan does not cover the services the enrollee seeks.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enrollee needs related services (for example, a cesarean section and a tubal ligation) to be performed at the same time, not all related services are available within the network, and the enrollee’s primary care provider or another provider determines that receiving the services separately would subject the enrollee to unnecessary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reasons including but not limited to poor quality of care, lack of access to services covered under the contract, or lack of access to providers experienced in dealing with the enrollee’s health care needs.</w:t>
      </w:r>
    </w:p>
    <w:p>
      <w:pPr>
        <w:spacing w:before="0" w:after="0"/>
        <w:ind w:left="120"/>
        <w:jc w:val="both"/>
      </w:pPr>
      <w:r>
        <w:rPr>
          <w:rFonts w:ascii="Times New Roman" w:hAnsi="Times New Roman"/>
          <w:b w:val="false"/>
          <w:i w:val="false"/>
          <w:color w:val="000000"/>
          <w:sz w:val="22"/>
        </w:rPr>
        <w:t>All approved changes shall be made prospectively and shall be effective no later than the first day of the second month beginning after the date on which the change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86.6(2)</w:t>
      </w:r>
      <w:r>
        <w:rPr>
          <w:rFonts w:ascii="Times New Roman" w:hAnsi="Times New Roman"/>
          <w:b w:val="false"/>
          <w:i w:val="false"/>
          <w:color w:val="000000"/>
          <w:sz w:val="22"/>
        </w:rPr>
        <w:t> </w:t>
      </w:r>
      <w:r>
        <w:rPr>
          <w:rFonts w:ascii="Times New Roman" w:hAnsi="Times New Roman"/>
          <w:b w:val="false"/>
          <w:i/>
          <w:color w:val="000000"/>
          <w:sz w:val="22"/>
        </w:rPr>
        <w:t xml:space="preserve">Child moves from the service area. </w:t>
      </w:r>
      <w:r>
        <w:rPr>
          <w:rFonts w:ascii="Times New Roman" w:hAnsi="Times New Roman"/>
          <w:b w:val="false"/>
          <w:i w:val="false"/>
          <w:color w:val="000000"/>
          <w:sz w:val="22"/>
        </w:rPr>
        <w:t>The child may be disenrolled from the health or dental plan when the child moves to an area of the state in which the health or dental plan does not have a provider network established. If the child is disenrolled, the child will be enrolled in a participating health or dental plan in the new location. The period of enrollment will be the number of months remaining in the original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86.6(3)</w:t>
      </w:r>
      <w:r>
        <w:rPr>
          <w:rFonts w:ascii="Times New Roman" w:hAnsi="Times New Roman"/>
          <w:b w:val="false"/>
          <w:i w:val="false"/>
          <w:color w:val="000000"/>
          <w:sz w:val="22"/>
        </w:rPr>
        <w:t> </w:t>
      </w:r>
      <w:r>
        <w:rPr>
          <w:rFonts w:ascii="Times New Roman" w:hAnsi="Times New Roman"/>
          <w:b w:val="false"/>
          <w:i/>
          <w:color w:val="000000"/>
          <w:sz w:val="22"/>
        </w:rPr>
        <w:t xml:space="preserve">Change at annual review. </w:t>
      </w:r>
      <w:r>
        <w:rPr>
          <w:rFonts w:ascii="Times New Roman" w:hAnsi="Times New Roman"/>
          <w:b w:val="false"/>
          <w:i w:val="false"/>
          <w:color w:val="000000"/>
          <w:sz w:val="22"/>
        </w:rPr>
        <w:t>If more than one health or dental plan is available at the time of the annual review of eligibility, the family may designate another plan either verbally or in writing to the enrollment broker. The child will remain enrolled in the current health or dental plan if the family does not notify the enrollment broker of a new health or dental plan choice by the end of the current 12-month enrollment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441—86.7</w:t>
      </w:r>
      <w:r>
        <w:rPr>
          <w:rFonts w:ascii="Times New Roman" w:hAnsi="Times New Roman"/>
          <w:b/>
          <w:i w:val="false"/>
          <w:color w:val="000000"/>
          <w:sz w:val="22"/>
        </w:rPr>
        <w:t xml:space="preserve">(514I) </w:t>
      </w:r>
      <w:r>
        <w:rPr>
          <w:rFonts w:ascii="Times New Roman" w:hAnsi="Times New Roman"/>
          <w:b/>
          <w:i w:val="false"/>
          <w:color w:val="000000"/>
          <w:sz w:val="22"/>
        </w:rPr>
        <w:t xml:space="preserve">Cancellation. </w:t>
      </w:r>
      <w:r>
        <w:rPr>
          <w:rFonts w:ascii="Times New Roman" w:hAnsi="Times New Roman"/>
          <w:b w:val="false"/>
          <w:i w:val="false"/>
          <w:color w:val="000000"/>
          <w:sz w:val="22"/>
        </w:rPr>
        <w:t>The child’s eligibility for the hawki program shall be canceled before the end of the 12-month enrollment period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child shall be canceled from the hawki program as of the first day of the month following the month in which the child attained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86.7(2)</w:t>
      </w:r>
      <w:r>
        <w:rPr>
          <w:rFonts w:ascii="Times New Roman" w:hAnsi="Times New Roman"/>
          <w:b w:val="false"/>
          <w:i w:val="false"/>
          <w:color w:val="000000"/>
          <w:sz w:val="22"/>
        </w:rPr>
        <w:t> </w:t>
      </w:r>
      <w:r>
        <w:rPr>
          <w:rFonts w:ascii="Times New Roman" w:hAnsi="Times New Roman"/>
          <w:b w:val="false"/>
          <w:i/>
          <w:color w:val="000000"/>
          <w:sz w:val="22"/>
        </w:rPr>
        <w:t xml:space="preserve">Iowa residence abandoned. </w:t>
      </w:r>
      <w:r>
        <w:rPr>
          <w:rFonts w:ascii="Times New Roman" w:hAnsi="Times New Roman"/>
          <w:b w:val="false"/>
          <w:i w:val="false"/>
          <w:color w:val="000000"/>
          <w:sz w:val="22"/>
        </w:rPr>
        <w:t xml:space="preserve">The child shall be canceled from the program as of the first day of the month following the month in which the child relocated to another state. Eligibility shall not be canceled when the child is temporarily absent from the state in accordance with the provisions of </w:t>
      </w:r>
      <w:hyperlink r:id="rId34">
        <w:r>
          <w:rPr>
            <w:rStyle w:val="Hyperlink"/>
            <w:rFonts w:ascii="Times New Roman" w:hAnsi="Times New Roman"/>
            <w:b w:val="false"/>
            <w:i w:val="false"/>
            <w:color w:val="000000"/>
            <w:sz w:val="22"/>
          </w:rPr>
          <w:t>441—subrule 75.10(2)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86.7(3)</w:t>
      </w:r>
      <w:r>
        <w:rPr>
          <w:rFonts w:ascii="Times New Roman" w:hAnsi="Times New Roman"/>
          <w:b w:val="false"/>
          <w:i w:val="false"/>
          <w:color w:val="000000"/>
          <w:sz w:val="22"/>
        </w:rPr>
        <w:t> </w:t>
      </w:r>
      <w:r>
        <w:rPr>
          <w:rFonts w:ascii="Times New Roman" w:hAnsi="Times New Roman"/>
          <w:b w:val="false"/>
          <w:i/>
          <w:color w:val="000000"/>
          <w:sz w:val="22"/>
        </w:rPr>
        <w:t xml:space="preserve">Eligible for Medicaid. </w:t>
      </w:r>
      <w:r>
        <w:rPr>
          <w:rFonts w:ascii="Times New Roman" w:hAnsi="Times New Roman"/>
          <w:b w:val="false"/>
          <w:i w:val="false"/>
          <w:color w:val="000000"/>
          <w:sz w:val="22"/>
        </w:rPr>
        <w:t>The child shall be canceled from the program as of the first day of the month following the month in which Medicaid eligibility is obtained. If there are months during which the child is covered by both the Medicaid and hawki programs, the hawki program shall be the primary payor and Medicaid shall be the payor of last resort.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86.7(4)</w:t>
      </w:r>
      <w:r>
        <w:rPr>
          <w:rFonts w:ascii="Times New Roman" w:hAnsi="Times New Roman"/>
          <w:b w:val="false"/>
          <w:i w:val="false"/>
          <w:color w:val="000000"/>
          <w:sz w:val="22"/>
        </w:rPr>
        <w:t> </w:t>
      </w:r>
      <w:r>
        <w:rPr>
          <w:rFonts w:ascii="Times New Roman" w:hAnsi="Times New Roman"/>
          <w:b w:val="false"/>
          <w:i/>
          <w:color w:val="000000"/>
          <w:sz w:val="22"/>
        </w:rPr>
        <w:t xml:space="preserve">Enrolled in other health insurance coverage. </w:t>
      </w:r>
      <w:r>
        <w:rPr>
          <w:rFonts w:ascii="Times New Roman" w:hAnsi="Times New Roman"/>
          <w:b w:val="false"/>
          <w:i w:val="false"/>
          <w:color w:val="000000"/>
          <w:sz w:val="22"/>
        </w:rPr>
        <w:t>The child shall be canceled from the program as of the first day of the month following the month in which the department is notified that the child has other health insurance coverage. If there are months during which the child is covered by both another insurance plan and the hawki program, the other insurance plan shall be the primary payor and hawki shall be the payor of last resort.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86.7(5)</w:t>
      </w:r>
      <w:r>
        <w:rPr>
          <w:rFonts w:ascii="Times New Roman" w:hAnsi="Times New Roman"/>
          <w:b w:val="false"/>
          <w:i w:val="false"/>
          <w:color w:val="000000"/>
          <w:sz w:val="22"/>
        </w:rPr>
        <w:t> </w:t>
      </w:r>
      <w:r>
        <w:rPr>
          <w:rFonts w:ascii="Times New Roman" w:hAnsi="Times New Roman"/>
          <w:b w:val="false"/>
          <w:i/>
          <w:color w:val="000000"/>
          <w:sz w:val="22"/>
        </w:rPr>
        <w:t xml:space="preserve">Admission to a public institution. </w:t>
      </w:r>
      <w:r>
        <w:rPr>
          <w:rFonts w:ascii="Times New Roman" w:hAnsi="Times New Roman"/>
          <w:b w:val="false"/>
          <w:i w:val="false"/>
          <w:color w:val="000000"/>
          <w:sz w:val="22"/>
        </w:rPr>
        <w:t>The child shall be canceled from the program if the child is in a public institution at the time of the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86.7(6)</w:t>
      </w:r>
      <w:r>
        <w:rPr>
          <w:rFonts w:ascii="Times New Roman" w:hAnsi="Times New Roman"/>
          <w:b w:val="false"/>
          <w:i w:val="false"/>
          <w:color w:val="000000"/>
          <w:sz w:val="22"/>
        </w:rPr>
        <w:t> </w:t>
      </w:r>
      <w:r>
        <w:rPr>
          <w:rFonts w:ascii="Times New Roman" w:hAnsi="Times New Roman"/>
          <w:b w:val="false"/>
          <w:i/>
          <w:color w:val="000000"/>
          <w:sz w:val="22"/>
        </w:rPr>
        <w:t xml:space="preserve">Admission to an institution for mental disease. </w:t>
      </w:r>
      <w:r>
        <w:rPr>
          <w:rFonts w:ascii="Times New Roman" w:hAnsi="Times New Roman"/>
          <w:b w:val="false"/>
          <w:i w:val="false"/>
          <w:color w:val="000000"/>
          <w:sz w:val="22"/>
        </w:rPr>
        <w:t>The child shall be canceled from the program if the child is a patient in an institution for mental disease at the time of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86.7(7)</w:t>
      </w:r>
      <w:r>
        <w:rPr>
          <w:rFonts w:ascii="Times New Roman" w:hAnsi="Times New Roman"/>
          <w:b w:val="false"/>
          <w:i w:val="false"/>
          <w:color w:val="000000"/>
          <w:sz w:val="22"/>
        </w:rPr>
        <w:t> </w:t>
      </w:r>
      <w:r>
        <w:rPr>
          <w:rFonts w:ascii="Times New Roman" w:hAnsi="Times New Roman"/>
          <w:b w:val="false"/>
          <w:i/>
          <w:color w:val="000000"/>
          <w:sz w:val="22"/>
        </w:rPr>
        <w:t xml:space="preserve">Employment with the state of Iowa. </w:t>
      </w:r>
      <w:r>
        <w:rPr>
          <w:rFonts w:ascii="Times New Roman" w:hAnsi="Times New Roman"/>
          <w:b w:val="false"/>
          <w:i w:val="false"/>
          <w:color w:val="000000"/>
          <w:sz w:val="22"/>
        </w:rPr>
        <w:t>The child shall be canceled from the hawki program as of the first day of the month in which the child’s parent became eligible to participate in a health or dental plan available to state of Iowa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441—86.8</w:t>
      </w:r>
      <w:r>
        <w:rPr>
          <w:rFonts w:ascii="Times New Roman" w:hAnsi="Times New Roman"/>
          <w:b/>
          <w:i w:val="false"/>
          <w:color w:val="000000"/>
          <w:sz w:val="22"/>
        </w:rPr>
        <w:t xml:space="preserve">(514I) </w:t>
      </w:r>
      <w:r>
        <w:rPr>
          <w:rFonts w:ascii="Times New Roman" w:hAnsi="Times New Roman"/>
          <w:b/>
          <w:i w:val="false"/>
          <w:color w:val="000000"/>
          <w:sz w:val="22"/>
        </w:rPr>
        <w:t xml:space="preserve">Premiums and copayments.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The income considered in determining the premium amount will be the family’s countable income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86.8(2)</w:t>
      </w:r>
      <w:r>
        <w:rPr>
          <w:rFonts w:ascii="Times New Roman" w:hAnsi="Times New Roman"/>
          <w:b w:val="false"/>
          <w:i w:val="false"/>
          <w:color w:val="000000"/>
          <w:sz w:val="22"/>
        </w:rPr>
        <w:t> </w:t>
      </w:r>
      <w:r>
        <w:rPr>
          <w:rFonts w:ascii="Times New Roman" w:hAnsi="Times New Roman"/>
          <w:b w:val="false"/>
          <w:i/>
          <w:color w:val="000000"/>
          <w:sz w:val="22"/>
        </w:rPr>
        <w:t xml:space="preserve">Premium amount. </w:t>
      </w:r>
      <w:r>
        <w:rPr>
          <w:rFonts w:ascii="Times New Roman" w:hAnsi="Times New Roman"/>
          <w:b w:val="false"/>
          <w:i w:val="false"/>
          <w:color w:val="000000"/>
          <w:sz w:val="22"/>
        </w:rPr>
        <w:t xml:space="preserve">Except as specified for supplemental dental-only coverage in subrule </w:t>
      </w:r>
      <w:hyperlink r:id="rId35">
        <w:r>
          <w:rPr>
            <w:rStyle w:val="Hyperlink"/>
            <w:rFonts w:ascii="Times New Roman" w:hAnsi="Times New Roman"/>
            <w:b w:val="false"/>
            <w:i w:val="false"/>
            <w:color w:val="000000"/>
            <w:sz w:val="22"/>
          </w:rPr>
          <w:t>86.20(3)</w:t>
        </w:r>
      </w:hyperlink>
      <w:r>
        <w:rPr>
          <w:rFonts w:ascii="Times New Roman" w:hAnsi="Times New Roman"/>
          <w:b w:val="false"/>
          <w:i w:val="false"/>
          <w:color w:val="000000"/>
          <w:sz w:val="22"/>
        </w:rPr>
        <w:t>, premiums under the hawki program will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premium is charged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eligible child is an American Indian or Alaska Native;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countable income is less than 181 percent of the federal poverty level for a family of the same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181 percent of the federal poverty level for a family of the same size but does not exceed 242 percent of the federal poverty level for a family of that size, the premium is $10 per child per month with a $20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243 percent of the federal poverty level for a family of the same size, the premium is $20 per child per month with a $40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86.8(3)</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Payment upon initial application. </w:t>
      </w:r>
      <w:r>
        <w:rPr>
          <w:rFonts w:ascii="Times New Roman" w:hAnsi="Times New Roman"/>
          <w:b w:val="false"/>
          <w:i w:val="false"/>
          <w:color w:val="000000"/>
          <w:sz w:val="22"/>
        </w:rPr>
        <w:t>Upon approval of an initial application, the first month for which a premium is due is the third month following the month of decision. The due date of the first premium shall be the fifth day of the second month following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upon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approval of a renewal, the first month for which a premium is due is the first month of the enrollment period. The premium for the first month of the enrollment period shall be due by the fifth day of the month before the month of coverage or the tenth business day following the date of decision,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premium is received, the department will notify the health and dental plans of the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payments. </w:t>
      </w:r>
      <w:r>
        <w:rPr>
          <w:rFonts w:ascii="Times New Roman" w:hAnsi="Times New Roman"/>
          <w:b w:val="false"/>
          <w:i w:val="false"/>
          <w:color w:val="000000"/>
          <w:sz w:val="22"/>
        </w:rPr>
        <w:t>All subsequent premiums are due by the fifth day of each month for the next month’s coverage. Premiums may be paid in advance (e.g., on a quarterly or semiannual basis) rather than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Holiday or weekend. </w:t>
      </w:r>
      <w:r>
        <w:rPr>
          <w:rFonts w:ascii="Times New Roman" w:hAnsi="Times New Roman"/>
          <w:b w:val="false"/>
          <w:i w:val="false"/>
          <w:color w:val="000000"/>
          <w:sz w:val="22"/>
        </w:rPr>
        <w:t>When the premium due date falls on a holiday or weekend, the premium shall be due on the first business day following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86.8(4)</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Premiums may be submitted in the form of cash, personal checks, electronic funds transfers (EFT), or other methods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86.8(5)</w:t>
      </w: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There will be a $25 copayment for each emergency room visit if the child’s medical condition does not meet the definition of emergency medical condition. A copayment will not be imposed when family income is less than 181 percent of the federal poverty level for a family of the same size or when the child is an eligible American Indian or Alaska Native.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 xml:space="preserve">; </w:t>
      </w:r>
      <w:r>
        <w:rPr>
          <w:rFonts w:ascii="Times New Roman" w:hAnsi="Times New Roman"/>
          <w:b/>
          <w:i w:val="false"/>
          <w:color w:val="000000"/>
          <w:sz w:val="16"/>
        </w:rPr>
        <w:t>ARC 9952C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441—86.9</w:t>
      </w:r>
      <w:r>
        <w:rPr>
          <w:rFonts w:ascii="Times New Roman" w:hAnsi="Times New Roman"/>
          <w:b/>
          <w:i w:val="false"/>
          <w:color w:val="000000"/>
          <w:sz w:val="22"/>
        </w:rPr>
        <w:t xml:space="preserve">(514I) </w:t>
      </w:r>
      <w:r>
        <w:rPr>
          <w:rFonts w:ascii="Times New Roman" w:hAnsi="Times New Roman"/>
          <w:b/>
          <w:i w:val="false"/>
          <w:color w:val="000000"/>
          <w:sz w:val="22"/>
        </w:rPr>
        <w:t xml:space="preserve">Annual reviews of eligibility. </w:t>
      </w:r>
      <w:r>
        <w:rPr>
          <w:rFonts w:ascii="Times New Roman" w:hAnsi="Times New Roman"/>
          <w:b w:val="false"/>
          <w:i w:val="false"/>
          <w:color w:val="000000"/>
          <w:sz w:val="22"/>
        </w:rPr>
        <w:t>All eligibility factors will be reviewed at least every 12 months to establish ongoing eligibility for the program. “Month one” will be the first month in which coverage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86.9(1)</w:t>
      </w:r>
      <w:r>
        <w:rPr>
          <w:rFonts w:ascii="Times New Roman" w:hAnsi="Times New Roman"/>
          <w:b w:val="false"/>
          <w:i w:val="false"/>
          <w:color w:val="000000"/>
          <w:sz w:val="22"/>
        </w:rPr>
        <w:t> </w:t>
      </w:r>
      <w:r>
        <w:rPr>
          <w:rFonts w:ascii="Times New Roman" w:hAnsi="Times New Roman"/>
          <w:b w:val="false"/>
          <w:i/>
          <w:color w:val="000000"/>
          <w:sz w:val="22"/>
        </w:rPr>
        <w:t xml:space="preserve">Review form. </w:t>
      </w:r>
      <w:r>
        <w:rPr>
          <w:rFonts w:ascii="Times New Roman" w:hAnsi="Times New Roman"/>
          <w:b w:val="false"/>
          <w:i w:val="false"/>
          <w:color w:val="000000"/>
          <w:sz w:val="22"/>
        </w:rPr>
        <w:t>The department will send the family a prepopulated review form on which the answers, except for income, have been completed based on the information on file. The family shall review the completed information for accuracy and fill in the income section of the form. If family income cannot be verified through electronic data matches, the family shall be required to provide verification of current income. The family shall sign and date the form attesting to its accuracy as part of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86.9(2)</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information. </w:t>
      </w:r>
      <w:r>
        <w:rPr>
          <w:rFonts w:ascii="Times New Roman" w:hAnsi="Times New Roman"/>
          <w:b w:val="false"/>
          <w:i w:val="false"/>
          <w:color w:val="000000"/>
          <w:sz w:val="22"/>
        </w:rPr>
        <w:t>The child shall not be enrolled for the next 12-month period if the family fails to provide information and verification of income or otherwise fails to cooperate in the annual review process. If the completed review form and any information necessary to establish continued eligibility are received within 14 calendar days of the end of an enrollment period, the review form and information will be acted upon as though they had been received timely. If the fourteenth calendar day falls on a weekend or state holiday, the enrollee shall have until the next business day to provide the review form and any information necessary to establish continued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441—86.10</w:t>
      </w:r>
      <w:r>
        <w:rPr>
          <w:rFonts w:ascii="Times New Roman" w:hAnsi="Times New Roman"/>
          <w:b/>
          <w:i w:val="false"/>
          <w:color w:val="000000"/>
          <w:sz w:val="22"/>
        </w:rPr>
        <w:t xml:space="preserve">(514I) </w:t>
      </w:r>
      <w:r>
        <w:rPr>
          <w:rFonts w:ascii="Times New Roman" w:hAnsi="Times New Roman"/>
          <w:b/>
          <w:i w:val="false"/>
          <w:color w:val="000000"/>
          <w:sz w:val="22"/>
        </w:rPr>
        <w:t xml:space="preserve">Reporting changes. </w:t>
      </w:r>
      <w:r>
        <w:rPr>
          <w:rFonts w:ascii="Times New Roman" w:hAnsi="Times New Roman"/>
          <w:b w:val="false"/>
          <w:i w:val="false"/>
          <w:color w:val="000000"/>
          <w:sz w:val="22"/>
        </w:rPr>
        <w:t>Changes that may affect eligibility shall be reported timely to the department. “Timely” shall mean no later than ten working days after the change occurred. The ten working-day period begins the first working day following the date of the change. The parent, guardian, or other adult responsible for the child shall report the change unless the child is emancipated, married, or otherwise in an independent living situation, in which case the child shall be responsible for reporting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86.10(1)</w:t>
      </w:r>
      <w:r>
        <w:rPr>
          <w:rFonts w:ascii="Times New Roman" w:hAnsi="Times New Roman"/>
          <w:b w:val="false"/>
          <w:i w:val="false"/>
          <w:color w:val="000000"/>
          <w:sz w:val="22"/>
        </w:rPr>
        <w:t> </w:t>
      </w:r>
      <w:r>
        <w:rPr>
          <w:rFonts w:ascii="Times New Roman" w:hAnsi="Times New Roman"/>
          <w:b w:val="false"/>
          <w:i/>
          <w:color w:val="000000"/>
          <w:sz w:val="22"/>
        </w:rPr>
        <w:t xml:space="preserve">Iowa residence is abandoned. </w:t>
      </w:r>
      <w:r>
        <w:rPr>
          <w:rFonts w:ascii="Times New Roman" w:hAnsi="Times New Roman"/>
          <w:b w:val="false"/>
          <w:i w:val="false"/>
          <w:color w:val="000000"/>
          <w:sz w:val="22"/>
        </w:rPr>
        <w:t>The abandonment of Iowa residence shall be reported following the move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86.10(2)</w:t>
      </w:r>
      <w:r>
        <w:rPr>
          <w:rFonts w:ascii="Times New Roman" w:hAnsi="Times New Roman"/>
          <w:b w:val="false"/>
          <w:i w:val="false"/>
          <w:color w:val="000000"/>
          <w:sz w:val="22"/>
        </w:rPr>
        <w:t> </w:t>
      </w:r>
      <w:r>
        <w:rPr>
          <w:rFonts w:ascii="Times New Roman" w:hAnsi="Times New Roman"/>
          <w:b w:val="false"/>
          <w:i/>
          <w:color w:val="000000"/>
          <w:sz w:val="22"/>
        </w:rPr>
        <w:t xml:space="preserve">Other insurance coverage. </w:t>
      </w:r>
      <w:r>
        <w:rPr>
          <w:rFonts w:ascii="Times New Roman" w:hAnsi="Times New Roman"/>
          <w:b w:val="false"/>
          <w:i w:val="false"/>
          <w:color w:val="000000"/>
          <w:sz w:val="22"/>
        </w:rPr>
        <w:t>Enrollment of the child in other health insurance coverage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86.10(3)</w:t>
      </w:r>
      <w:r>
        <w:rPr>
          <w:rFonts w:ascii="Times New Roman" w:hAnsi="Times New Roman"/>
          <w:b w:val="false"/>
          <w:i w:val="false"/>
          <w:color w:val="000000"/>
          <w:sz w:val="22"/>
        </w:rPr>
        <w:t> </w:t>
      </w:r>
      <w:r>
        <w:rPr>
          <w:rFonts w:ascii="Times New Roman" w:hAnsi="Times New Roman"/>
          <w:b w:val="false"/>
          <w:i/>
          <w:color w:val="000000"/>
          <w:sz w:val="22"/>
        </w:rPr>
        <w:t xml:space="preserve">Decrease in income. </w:t>
      </w:r>
      <w:r>
        <w:rPr>
          <w:rFonts w:ascii="Times New Roman" w:hAnsi="Times New Roman"/>
          <w:b w:val="false"/>
          <w:i w:val="false"/>
          <w:color w:val="000000"/>
          <w:sz w:val="22"/>
        </w:rPr>
        <w:t xml:space="preserve">If the family reports a decrease in income, the department will ascertain whether the change affects the premium obligation of the family. If the change is such that the family is no longer required to pay a premium in accordance with the provisions of rule </w:t>
      </w:r>
      <w:hyperlink r:id="rId36">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 premiums will no longer be charged beginning with the month following the month of the report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86.10(4)</w:t>
      </w:r>
      <w:r>
        <w:rPr>
          <w:rFonts w:ascii="Times New Roman" w:hAnsi="Times New Roman"/>
          <w:b w:val="false"/>
          <w:i w:val="false"/>
          <w:color w:val="000000"/>
          <w:sz w:val="22"/>
        </w:rPr>
        <w:t> </w:t>
      </w:r>
      <w:r>
        <w:rPr>
          <w:rFonts w:ascii="Times New Roman" w:hAnsi="Times New Roman"/>
          <w:b w:val="false"/>
          <w:i/>
          <w:color w:val="000000"/>
          <w:sz w:val="22"/>
        </w:rPr>
        <w:t xml:space="preserve">Information reported by a third party. </w:t>
      </w:r>
      <w:r>
        <w:rPr>
          <w:rFonts w:ascii="Times New Roman" w:hAnsi="Times New Roman"/>
          <w:b w:val="false"/>
          <w:i w:val="false"/>
          <w:color w:val="000000"/>
          <w:sz w:val="22"/>
        </w:rPr>
        <w:t xml:space="preserve">Information reported by a third party will not be acted upon until the information is verified in accordance with subrule </w:t>
      </w:r>
      <w:hyperlink r:id="rId37">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86.10(5)</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 xml:space="preserve">The provisions of subrule </w:t>
      </w:r>
      <w:hyperlink r:id="rId38">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 xml:space="preserve"> shall apply when a request for information or verification is made due to a change. In addition, failure of the enrollee or of the person acting on behalf of the enrollee to provide requested information or verification that may affect eligibility for the program shall result in cancellation and recoupment of all payments made by the department on behalf of the enrollee during the period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in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change in circumstances has a positive effect on eligibility, the change in eligibility shall be effective no earlier than the month following the month in which the change in circumstances was reported, regardless of when the change was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circumstances has an adverse effect on eligibility, the change in eligibility shall be effective no earlier than the month following the issuance of a timely notification, in accordance with the provisions of rule </w:t>
      </w:r>
      <w:hyperlink r:id="rId39">
        <w:r>
          <w:rPr>
            <w:rStyle w:val="Hyperlink"/>
            <w:rFonts w:ascii="Times New Roman" w:hAnsi="Times New Roman"/>
            <w:b w:val="false"/>
            <w:i w:val="false"/>
            <w:color w:val="000000"/>
            <w:sz w:val="22"/>
          </w:rPr>
          <w:t>441—86.11</w:t>
        </w:r>
      </w:hyperlink>
      <w:r>
        <w:rPr>
          <w:rFonts w:ascii="Times New Roman" w:hAnsi="Times New Roman"/>
          <w:b w:val="false"/>
          <w:i w:val="false"/>
          <w:color w:val="000000"/>
          <w:sz w:val="22"/>
        </w:rPr>
        <w:t>(514I). When the change in circumstances was not reported timely, as defined in this rule, benefits shall be recouped beginning with the month following the month in which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anticipated change in circumstances is reported before the change occurs, no action will be taken until the change actually occurs and is verified in accordance with the provisions of subrule </w:t>
      </w:r>
      <w:hyperlink r:id="rId40">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441—86.11</w:t>
      </w:r>
      <w:r>
        <w:rPr>
          <w:rFonts w:ascii="Times New Roman" w:hAnsi="Times New Roman"/>
          <w:b/>
          <w:i w:val="false"/>
          <w:color w:val="000000"/>
          <w:sz w:val="22"/>
        </w:rPr>
        <w:t xml:space="preserve">(514I) </w:t>
      </w:r>
      <w:r>
        <w:rPr>
          <w:rFonts w:ascii="Times New Roman" w:hAnsi="Times New Roman"/>
          <w:b/>
          <w:i w:val="false"/>
          <w:color w:val="000000"/>
          <w:sz w:val="22"/>
        </w:rPr>
        <w:t xml:space="preserve">Notice requirements. </w:t>
      </w:r>
      <w:r>
        <w:rPr>
          <w:rFonts w:ascii="Times New Roman" w:hAnsi="Times New Roman"/>
          <w:b w:val="false"/>
          <w:i w:val="false"/>
          <w:color w:val="000000"/>
          <w:sz w:val="22"/>
        </w:rPr>
        <w:t xml:space="preserve">The applicant will be provided an adequate written notice of the decision regarding the applicant’s eligibility for the hawki program. The enrollee will be notified in writing of any decision that adversely affects the enrollee’s eligibility or the amount of benefits. The notice will be timely and adequate as provided in rule </w:t>
      </w:r>
      <w:hyperlink r:id="rId41">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441—86.12</w:t>
      </w:r>
      <w:r>
        <w:rPr>
          <w:rFonts w:ascii="Times New Roman" w:hAnsi="Times New Roman"/>
          <w:b/>
          <w:i w:val="false"/>
          <w:color w:val="000000"/>
          <w:sz w:val="22"/>
        </w:rPr>
        <w:t xml:space="preserve">(514I) </w:t>
      </w:r>
      <w:r>
        <w:rPr>
          <w:rFonts w:ascii="Times New Roman" w:hAnsi="Times New Roman"/>
          <w:b/>
          <w:i w:val="false"/>
          <w:color w:val="000000"/>
          <w:sz w:val="22"/>
        </w:rPr>
        <w:t xml:space="preserve">Appeals and fair hearings. </w:t>
      </w:r>
      <w:r>
        <w:rPr>
          <w:rFonts w:ascii="Times New Roman" w:hAnsi="Times New Roman"/>
          <w:b w:val="false"/>
          <w:i w:val="false"/>
          <w:color w:val="000000"/>
          <w:sz w:val="22"/>
        </w:rPr>
        <w:t xml:space="preserve">If the applicant or enrollee disputes a decision to reduce, cancel or deny participation in the hawki program, the applicant or enrollee may appeal the decision in accordance with </w:t>
      </w:r>
      <w:hyperlink r:id="rId4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441—86.13</w:t>
      </w:r>
      <w:r>
        <w:rPr>
          <w:rFonts w:ascii="Times New Roman" w:hAnsi="Times New Roman"/>
          <w:b/>
          <w:i w:val="false"/>
          <w:color w:val="000000"/>
          <w:sz w:val="22"/>
        </w:rPr>
        <w:t xml:space="preserve">(514I) </w:t>
      </w:r>
      <w:r>
        <w:rPr>
          <w:rFonts w:ascii="Times New Roman" w:hAnsi="Times New Roman"/>
          <w:b/>
          <w:i w:val="false"/>
          <w:color w:val="000000"/>
          <w:sz w:val="22"/>
        </w:rPr>
        <w:t xml:space="preserve">Covered services. </w:t>
      </w:r>
      <w:r>
        <w:rPr>
          <w:rFonts w:ascii="Times New Roman" w:hAnsi="Times New Roman"/>
          <w:b w:val="false"/>
          <w:i w:val="false"/>
          <w:color w:val="000000"/>
          <w:sz w:val="22"/>
        </w:rPr>
        <w:t xml:space="preserve">The benefits provided under the hawki program shall meet a benchmark, benchmark equivalent, or benefit plan that complies with </w:t>
      </w:r>
      <w:r>
        <w:rPr>
          <w:rFonts w:ascii="Times New Roman" w:hAnsi="Times New Roman"/>
          <w:b w:val="false"/>
          <w:i w:val="false"/>
          <w:color w:val="000000"/>
          <w:sz w:val="22"/>
        </w:rPr>
        <w:t>Title XXI of the federal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86.13(1)</w:t>
      </w:r>
      <w:r>
        <w:rPr>
          <w:rFonts w:ascii="Times New Roman" w:hAnsi="Times New Roman"/>
          <w:b w:val="false"/>
          <w:i w:val="false"/>
          <w:color w:val="000000"/>
          <w:sz w:val="22"/>
        </w:rPr>
        <w:t> </w:t>
      </w:r>
      <w:r>
        <w:rPr>
          <w:rFonts w:ascii="Times New Roman" w:hAnsi="Times New Roman"/>
          <w:b w:val="false"/>
          <w:i/>
          <w:color w:val="000000"/>
          <w:sz w:val="22"/>
        </w:rPr>
        <w:t xml:space="preserve">Required medical services. </w:t>
      </w:r>
      <w:r>
        <w:rPr>
          <w:rFonts w:ascii="Times New Roman" w:hAnsi="Times New Roman"/>
          <w:b w:val="false"/>
          <w:i w:val="false"/>
          <w:color w:val="000000"/>
          <w:sz w:val="22"/>
        </w:rPr>
        <w:t>The participating health plan shall cover at a minimum the following medically necessary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Inpatient hospital services (including medical, surgical, intensive care unit, mental health, and substance abuse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 services (including surgical and medical, and including office visits, newborn care, well-baby and well-child care, immunizations, urgent care, specialist care, allergy testing and treatment, mental health visits, and substance abuse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 (including emergency room, surgery, lab, and x-ray services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Nursing care services (including skilled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Speech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Home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Hospice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Vision services (including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Translation and interpreter services as specified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1397ee(a)(1)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Chiropractic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86.13(2)</w:t>
      </w:r>
      <w:r>
        <w:rPr>
          <w:rFonts w:ascii="Times New Roman" w:hAnsi="Times New Roman"/>
          <w:b w:val="false"/>
          <w:i w:val="false"/>
          <w:color w:val="000000"/>
          <w:sz w:val="22"/>
        </w:rPr>
        <w:t> </w:t>
      </w:r>
      <w:r>
        <w:rPr>
          <w:rFonts w:ascii="Times New Roman" w:hAnsi="Times New Roman"/>
          <w:b w:val="false"/>
          <w:i/>
          <w:color w:val="000000"/>
          <w:sz w:val="22"/>
        </w:rPr>
        <w:t xml:space="preserve">Abortion. </w:t>
      </w:r>
      <w:r>
        <w:rPr>
          <w:rFonts w:ascii="Times New Roman" w:hAnsi="Times New Roman"/>
          <w:b w:val="false"/>
          <w:i w:val="false"/>
          <w:color w:val="000000"/>
          <w:sz w:val="22"/>
        </w:rPr>
        <w:t>Payment for abortion shall only be made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enrollee suffers from a physical disorder, physical injury, or physical illness, including a life-endangering physical condition caused by or arising from the pregnancy itself, that would place the enrollee in danger of death unless an abortion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an act of rape or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86.13(3)</w:t>
      </w:r>
      <w:r>
        <w:rPr>
          <w:rFonts w:ascii="Times New Roman" w:hAnsi="Times New Roman"/>
          <w:b w:val="false"/>
          <w:i w:val="false"/>
          <w:color w:val="000000"/>
          <w:sz w:val="22"/>
        </w:rPr>
        <w:t> </w:t>
      </w:r>
      <w:r>
        <w:rPr>
          <w:rFonts w:ascii="Times New Roman" w:hAnsi="Times New Roman"/>
          <w:b w:val="false"/>
          <w:i/>
          <w:color w:val="000000"/>
          <w:sz w:val="22"/>
        </w:rPr>
        <w:t xml:space="preserve">Required dental services. </w:t>
      </w:r>
      <w:r>
        <w:rPr>
          <w:rFonts w:ascii="Times New Roman" w:hAnsi="Times New Roman"/>
          <w:b w:val="false"/>
          <w:i w:val="false"/>
          <w:color w:val="000000"/>
          <w:sz w:val="22"/>
        </w:rPr>
        <w:t>Participating dental plans shall cover at a minimum the following necessary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Diagnostic and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Routine and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Cast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Prosthetics.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441—86.14</w:t>
      </w:r>
      <w:r>
        <w:rPr>
          <w:rFonts w:ascii="Times New Roman" w:hAnsi="Times New Roman"/>
          <w:b/>
          <w:i w:val="false"/>
          <w:color w:val="000000"/>
          <w:sz w:val="22"/>
        </w:rPr>
        <w:t xml:space="preserve">(514I) </w:t>
      </w:r>
      <w:r>
        <w:rPr>
          <w:rFonts w:ascii="Times New Roman" w:hAnsi="Times New Roman"/>
          <w:b/>
          <w:i w:val="false"/>
          <w:color w:val="000000"/>
          <w:sz w:val="22"/>
        </w:rPr>
        <w:t xml:space="preserve">Participating health and dental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The participating health or dental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by the division of insurance of the department of insurance and financial services to provide health or dental care coverage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an organized delivery system licensed by the director to provide health or dental care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 xml:space="preserve">The participating health or dental plan shall provide coverage for the services specified in rule </w:t>
      </w:r>
      <w:hyperlink r:id="rId43">
        <w:r>
          <w:rPr>
            <w:rStyle w:val="Hyperlink"/>
            <w:rFonts w:ascii="Times New Roman" w:hAnsi="Times New Roman"/>
            <w:b w:val="false"/>
            <w:i w:val="false"/>
            <w:color w:val="000000"/>
            <w:sz w:val="22"/>
          </w:rPr>
          <w:t>441—86.13</w:t>
        </w:r>
      </w:hyperlink>
      <w:r>
        <w:rPr>
          <w:rFonts w:ascii="Times New Roman" w:hAnsi="Times New Roman"/>
          <w:b w:val="false"/>
          <w:i w:val="false"/>
          <w:color w:val="000000"/>
          <w:sz w:val="22"/>
        </w:rPr>
        <w:t>(514I) to all children determined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or dental plan shall make services it provides to hawki enrollees at least as accessible to the enrollees (in terms of timeliness, duration and scope) as those services are accessible to other commercial enrollees in the area served by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Participating health plans shall ensure that emergency services (inpatient and outpatient) are available for treatment of an emergency medical condition 24 hours a day, seven days a week, either through the health plan’s own providers or through arrangements with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participating health or dental plan does not provide statewide coverage, the health or dental plan shall participate in every county in which it is licensed and in which a provider network has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86.14(3)</w:t>
      </w:r>
      <w:r>
        <w:rPr>
          <w:rFonts w:ascii="Times New Roman" w:hAnsi="Times New Roman"/>
          <w:b w:val="false"/>
          <w:i w:val="false"/>
          <w:color w:val="000000"/>
          <w:sz w:val="22"/>
        </w:rPr>
        <w:t> </w:t>
      </w:r>
      <w:r>
        <w:rPr>
          <w:rFonts w:ascii="Times New Roman" w:hAnsi="Times New Roman"/>
          <w:b w:val="false"/>
          <w:i/>
          <w:color w:val="000000"/>
          <w:sz w:val="22"/>
        </w:rPr>
        <w:t xml:space="preserve">Provider network. </w:t>
      </w:r>
      <w:r>
        <w:rPr>
          <w:rFonts w:ascii="Times New Roman" w:hAnsi="Times New Roman"/>
          <w:b w:val="false"/>
          <w:i w:val="false"/>
          <w:color w:val="000000"/>
          <w:sz w:val="22"/>
        </w:rPr>
        <w:t>The participating health or dental plan shall establish a network of providers. Providers contracting with the participating health or dental plan shall comply with hawki requirements, which shall include collecting copayments,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cards. </w:t>
      </w:r>
      <w:r>
        <w:rPr>
          <w:rFonts w:ascii="Times New Roman" w:hAnsi="Times New Roman"/>
          <w:b w:val="false"/>
          <w:i w:val="false"/>
          <w:color w:val="000000"/>
          <w:sz w:val="22"/>
        </w:rPr>
        <w:t>Identification cards shall be issued by the participating health or dental plan to the enrollees for use in securing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86.14(5)</w:t>
      </w:r>
      <w:r>
        <w:rPr>
          <w:rFonts w:ascii="Times New Roman" w:hAnsi="Times New Roman"/>
          <w:b w:val="false"/>
          <w:i w:val="false"/>
          <w:color w:val="000000"/>
          <w:sz w:val="22"/>
        </w:rPr>
        <w:t> </w:t>
      </w:r>
      <w:r>
        <w:rPr>
          <w:rFonts w:ascii="Times New Roman" w:hAnsi="Times New Roman"/>
          <w:b w:val="false"/>
          <w:i/>
          <w:color w:val="000000"/>
          <w:sz w:val="22"/>
        </w:rPr>
        <w:t xml:space="preserve">Marketing.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health and dental plans may not distribute any marketing materials directly or through an agent or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marketing materials require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minimum, participating health and dental plans must provide the following material in writing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member handbook that fully explains the services available, how and when to obtain them, and special factors applicable to the hawki enrollees. At a minimum the handbook shall include covered services, network providers, exclusions, emergency services procedures, 24-hour toll-free number for certification of services, daytime number to call for assistance, appeal procedures, enrollee rights and responsibilities, and definitions of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health and dental plan literature and brochures shall be available in English and any other language when enrollment in the health or dental plan by enrollees who speak the same non-English language equals or exceeds 10 percent of all enrollees in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health and dental plan literature and brochures shall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and dental plans shall not, directly or indirectly, conduct door-to-door, telephonic, or other “cold-call”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or dental plan may make marketing presentations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86.14(6)</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The participating health or dental plan shall have a written procedure by which enrollees may appeal issues concerning the health or dental care services provided through providers contracted with the health or dental plan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approved by the department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Acknowledges receipt of the appeal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Establishes time frames that ensure that appeals be resolved within 45 days, except for appeals that involve emergency medical conditions, which shall be resolved within time frames appropriate to the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Ensures the participation of persons with authority to take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Ensures that the decision be made by a physician, dentist, or clinical peer not previously involved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Ensures the confidentiality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Ensures issuance of a written decision to the enrollee for each appeal, which shall contain an adequate explanation of the action taken and the reason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Maintains a log of the appeals that is made available to the department at the department’s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Ensures that the participating health or dental plan’s written appeal procedures be provided to each newly covered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Requires that the participating health or dental plan make quarterly reports to the department summarizing appeals and resolutions.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86.14(7)</w:t>
      </w:r>
      <w:r>
        <w:rPr>
          <w:rFonts w:ascii="Times New Roman" w:hAnsi="Times New Roman"/>
          <w:b w:val="false"/>
          <w:i w:val="false"/>
          <w:color w:val="000000"/>
          <w:sz w:val="22"/>
        </w:rPr>
        <w:t> </w:t>
      </w:r>
      <w:r>
        <w:rPr>
          <w:rFonts w:ascii="Times New Roman" w:hAnsi="Times New Roman"/>
          <w:b w:val="false"/>
          <w:i/>
          <w:color w:val="000000"/>
          <w:sz w:val="22"/>
        </w:rPr>
        <w:t xml:space="preserve">Records and reports. </w:t>
      </w:r>
      <w:r>
        <w:rPr>
          <w:rFonts w:ascii="Times New Roman" w:hAnsi="Times New Roman"/>
          <w:b w:val="false"/>
          <w:i w:val="false"/>
          <w:color w:val="000000"/>
          <w:sz w:val="22"/>
        </w:rPr>
        <w:t>The participating health and dental plans shall maintain records and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or dental plan shall comply with the provisions of rule </w:t>
      </w:r>
      <w:hyperlink r:id="rId4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regarding maintenance and retention of clinical and fiscal records and shall file a letter with the commissioner of insurance as described in Iowa Code section </w:t>
      </w:r>
      <w:hyperlink r:id="rId45">
        <w:r>
          <w:rPr>
            <w:rStyle w:val="Hyperlink"/>
            <w:rFonts w:ascii="Times New Roman" w:hAnsi="Times New Roman"/>
            <w:b w:val="false"/>
            <w:i w:val="false"/>
            <w:color w:val="000000"/>
            <w:sz w:val="22"/>
          </w:rPr>
          <w:t>228.7</w:t>
        </w:r>
      </w:hyperlink>
      <w:r>
        <w:rPr>
          <w:rFonts w:ascii="Times New Roman" w:hAnsi="Times New Roman"/>
          <w:b w:val="false"/>
          <w:i w:val="false"/>
          <w:color w:val="000000"/>
          <w:sz w:val="22"/>
        </w:rPr>
        <w:t>. In addition, the health or dental plan or subcontractor of the health or dental plan, as appropriate, must maintain a medical or dental records system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Identifies each medical or dental record by hawki enrollee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complete medical or dental record for each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a specific medical or dental record on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Meets state and federal reporting requirements applicable to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Maintains the confidentiality of medical or dental records information and releases the information only in accordance with established policy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medical and dental records of the enrollee shall be confidential and shall not be released without the written consent of the enrollee or 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consent is not required for the transmission of medical or dental records information to physicians, dentists, other practitioners, or facilities that are providing services to enrollees under a subcontract with the health or dental plan. This provision also applies to specialty providers who are retained by the health or dental plan to provide services that are infrequently used, which provide a support system service to the operation of the health or dental plan, or that are of an unusual nature. This provision is also intended to waive the need for written consent for department staff assisting in the administration of the program, reviewers from the peer review organization (PRO), monitoring authorities from the Centers for Medicare and Medicaid Services (CMS), the health or dental plan itself, and other subcontractors that require information as described under numbered paragraph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consent is not required for the transmission of medical or dental records information to physicians, dentists, or facilities providing emergency care pursuant to paragraph </w:t>
      </w:r>
      <w:hyperlink r:id="rId46">
        <w:r>
          <w:rPr>
            <w:rStyle w:val="Hyperlink"/>
            <w:rFonts w:ascii="Times New Roman" w:hAnsi="Times New Roman"/>
            <w:b w:val="false"/>
            <w:i w:val="false"/>
            <w:color w:val="000000"/>
            <w:sz w:val="22"/>
          </w:rPr>
          <w:t>86.14(2)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consent is required for the transmission of the medical or dental records information of a former enrollee to any physician or dentist not connected with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medical or dental records information to be released in each instance shall be based upon a test of medical or dental necessity and a “need to know” on the part of the practitioner or a facility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Medical and dental records maintained by subcontractors shall meet the requirements of this rule except that written consent is required for the transmission of medical records relating to substance abuse, HIV, or mental health treatment in accordance with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health or dental plan shall provide at a minimum reports and plan information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 of providers of services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Encounter data on a monthly basis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health or dental plan shall at a minimum provide reports and health or dental plan information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plan’s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for a health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Periodic financial, utilization and statistical reports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Time-specific reports that define activity for child health care, appeals and other designated activities that may, at the department’s discretion, vary among plans, depending on the services covered or other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86.14(8)</w:t>
      </w:r>
      <w:r>
        <w:rPr>
          <w:rFonts w:ascii="Times New Roman" w:hAnsi="Times New Roman"/>
          <w:b w:val="false"/>
          <w:i w:val="false"/>
          <w:color w:val="000000"/>
          <w:sz w:val="22"/>
        </w:rPr>
        <w:t> </w:t>
      </w:r>
      <w:r>
        <w:rPr>
          <w:rFonts w:ascii="Times New Roman" w:hAnsi="Times New Roman"/>
          <w:b w:val="false"/>
          <w:i/>
          <w:color w:val="000000"/>
          <w:sz w:val="22"/>
        </w:rPr>
        <w:t xml:space="preserve">Payment to the participating health or dental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consideration for all services rendered by a health or dental plan, the health or dental plan shall receive a payment each month for each enrollee. This capitation rate represents the total obligation of the department with respect to the costs of medical or dental care and services provided to the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capitation rate shall be actuarially determined by the department July of 2000 and each fiscal year thereafter using statistics and data assumptions and relevant experience derived from similar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capitation rate does not include any amounts for the recoupment of losses suffered by the health or dental plan for risks assumed under the current or any previous contract. The health or dental plan accepts the rate as payment in full for the contracted services. Any savings realized by the health or dental plan due to lower utilization from a less frequent incidence of health or dental problems among the enrolled population shall be wholly retained by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enrollee has third-party coverage or a responsible party other than the hawki program available for purposes of payment for medical or dental expenses, it is the right and responsibility of the health or dental plan to investigate these third-party resources and attempt to obtain payment. The health or dental plan shall retain all funds collected through third-party sources. A complete record of all income from these sources must be maintained and made available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441—86.15</w:t>
      </w:r>
      <w:r>
        <w:rPr>
          <w:rFonts w:ascii="Times New Roman" w:hAnsi="Times New Roman"/>
          <w:b/>
          <w:i w:val="false"/>
          <w:color w:val="000000"/>
          <w:sz w:val="22"/>
        </w:rPr>
        <w:t xml:space="preserve">(514I) </w:t>
      </w:r>
      <w:r>
        <w:rPr>
          <w:rFonts w:ascii="Times New Roman" w:hAnsi="Times New Roman"/>
          <w:b/>
          <w:i w:val="false"/>
          <w:color w:val="000000"/>
          <w:sz w:val="22"/>
        </w:rPr>
        <w:t xml:space="preserve">Use of donations to the hawki program. </w:t>
      </w:r>
      <w:r>
        <w:rPr>
          <w:rFonts w:ascii="Times New Roman" w:hAnsi="Times New Roman"/>
          <w:b w:val="false"/>
          <w:i w:val="false"/>
          <w:color w:val="000000"/>
          <w:sz w:val="22"/>
        </w:rPr>
        <w:t>If an individual or other entity makes a monetary donation to the hawki program, the department will deposit the donation into the hawki trust fund. The department will track all donations separately and will not commingle the donations with other moneys in the trust fund. The department shall report the receipt of all donations to MAAC.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86.15(1)</w:t>
      </w:r>
      <w:r>
        <w:rPr>
          <w:rFonts w:ascii="Times New Roman" w:hAnsi="Times New Roman"/>
          <w:b w:val="false"/>
          <w:i w:val="false"/>
          <w:color w:val="000000"/>
          <w:sz w:val="22"/>
        </w:rPr>
        <w:t> </w:t>
      </w:r>
      <w:r>
        <w:rPr>
          <w:rFonts w:ascii="Times New Roman" w:hAnsi="Times New Roman"/>
          <w:b w:val="false"/>
          <w:i w:val="false"/>
          <w:color w:val="000000"/>
          <w:sz w:val="22"/>
        </w:rPr>
        <w:t>If the donor specifically identifies the purpose of the donation, regardless of the amount, the donation shall be used as specified by the donor as long as the identified purpose is permissible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86.15(2)</w:t>
      </w:r>
      <w:r>
        <w:rPr>
          <w:rFonts w:ascii="Times New Roman" w:hAnsi="Times New Roman"/>
          <w:b w:val="false"/>
          <w:i w:val="false"/>
          <w:color w:val="000000"/>
          <w:sz w:val="22"/>
        </w:rPr>
        <w:t> </w:t>
      </w:r>
      <w:r>
        <w:rPr>
          <w:rFonts w:ascii="Times New Roman" w:hAnsi="Times New Roman"/>
          <w:b w:val="false"/>
          <w:i w:val="false"/>
          <w:color w:val="000000"/>
          <w:sz w:val="22"/>
        </w:rPr>
        <w:t>If the donation is less than $5,000 and the donor does not specifically identify how it is to be used, the department will use the moneys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direct benefit of enrollees (e.g.,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outreach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other purposes as determined by MAAC.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86.15(3)</w:t>
      </w:r>
      <w:r>
        <w:rPr>
          <w:rFonts w:ascii="Times New Roman" w:hAnsi="Times New Roman"/>
          <w:b w:val="false"/>
          <w:i w:val="false"/>
          <w:color w:val="000000"/>
          <w:sz w:val="22"/>
        </w:rPr>
        <w:t> </w:t>
      </w:r>
      <w:r>
        <w:rPr>
          <w:rFonts w:ascii="Times New Roman" w:hAnsi="Times New Roman"/>
          <w:b w:val="false"/>
          <w:i w:val="false"/>
          <w:color w:val="000000"/>
          <w:sz w:val="22"/>
        </w:rPr>
        <w:t>If the donation is more than $5,000 and the donor does not specify how the funds are to be used, MAAC will determine how the funds are to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441—86.16</w:t>
      </w:r>
      <w:r>
        <w:rPr>
          <w:rFonts w:ascii="Times New Roman" w:hAnsi="Times New Roman"/>
          <w:b/>
          <w:i w:val="false"/>
          <w:color w:val="000000"/>
          <w:sz w:val="22"/>
        </w:rPr>
        <w:t xml:space="preserve">(514I)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from the enrollee or representative. </w:t>
      </w:r>
      <w:r>
        <w:rPr>
          <w:rFonts w:ascii="Times New Roman" w:hAnsi="Times New Roman"/>
          <w:b w:val="false"/>
          <w:i w:val="false"/>
          <w:color w:val="000000"/>
          <w:sz w:val="22"/>
        </w:rPr>
        <w:t xml:space="preserve">The department may recover from the enrollee or the enrollee’s representative the amount of premiums incorrectly paid to a health or dental plan on behalf of the enrollee due to client error, minus any premium payments made by the enrollee, in accordance with </w:t>
      </w:r>
      <w:hyperlink r:id="rId47">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Premiums incorrectly paid to a health or dental plan on behalf of an enrollee due to an administrative error are not subject to recovery from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made by a health or dental plan to a provider of medical or dental services are not subject to recovery from the enrollee regardless of the cause of the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enrollee will be promptly notified when it is determined that funds were incorrectly paid due to a client error. Notification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for whom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86.16(3)</w:t>
      </w:r>
      <w:r>
        <w:rPr>
          <w:rFonts w:ascii="Times New Roman" w:hAnsi="Times New Roman"/>
          <w:b w:val="false"/>
          <w:i w:val="false"/>
          <w:color w:val="000000"/>
          <w:sz w:val="22"/>
        </w:rPr>
        <w:t> </w:t>
      </w:r>
      <w:r>
        <w:rPr>
          <w:rFonts w:ascii="Times New Roman" w:hAnsi="Times New Roman"/>
          <w:b w:val="false"/>
          <w:i/>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Recovery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the enrollee when the enrollee completed the application and had responsibility for reporting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enrollee’s representative (i.e., the parent, guardian, or other responsible person acting on behalf of an enrollee who is under the age of 19) when the representative completed the application and had responsibility for reporting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or representative shall repay to the department the funds incorrectly expended on behalf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Recovery may come from income, income tax refunds, lottery winnings, or other resources of the enrollee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enrollee shall have the right to appeal a decision to recover benefits under the provisions of </w:t>
      </w:r>
      <w:hyperlink r:id="rId4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441—86.17</w:t>
      </w:r>
      <w:r>
        <w:rPr>
          <w:rFonts w:ascii="Times New Roman" w:hAnsi="Times New Roman"/>
          <w:b/>
          <w:i w:val="false"/>
          <w:color w:val="000000"/>
          <w:sz w:val="22"/>
        </w:rPr>
        <w:t xml:space="preserve">(514I) </w:t>
      </w:r>
      <w:r>
        <w:rPr>
          <w:rFonts w:ascii="Times New Roman" w:hAnsi="Times New Roman"/>
          <w:b/>
          <w:i w:val="false"/>
          <w:color w:val="000000"/>
          <w:sz w:val="22"/>
        </w:rPr>
        <w:t xml:space="preserve">Supplemental dental-only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Unless otherwise specified, eligibility for supplemental dental-only coverage shall be determined in accordance with the provisions of rules </w:t>
      </w:r>
      <w:hyperlink r:id="rId49">
        <w:r>
          <w:rPr>
            <w:rStyle w:val="Hyperlink"/>
            <w:rFonts w:ascii="Times New Roman" w:hAnsi="Times New Roman"/>
            <w:b w:val="false"/>
            <w:i w:val="false"/>
            <w:color w:val="000000"/>
            <w:sz w:val="22"/>
          </w:rPr>
          <w:t>441—86.2</w:t>
        </w:r>
      </w:hyperlink>
      <w:r>
        <w:rPr>
          <w:rFonts w:ascii="Times New Roman" w:hAnsi="Times New Roman"/>
          <w:b w:val="false"/>
          <w:i w:val="false"/>
          <w:color w:val="000000"/>
          <w:sz w:val="22"/>
        </w:rPr>
        <w:t xml:space="preserve">(514I) through </w:t>
      </w:r>
      <w:hyperlink r:id="rId50">
        <w:r>
          <w:rPr>
            <w:rStyle w:val="Hyperlink"/>
            <w:rFonts w:ascii="Times New Roman" w:hAnsi="Times New Roman"/>
            <w:b w:val="false"/>
            <w:i w:val="false"/>
            <w:color w:val="000000"/>
            <w:sz w:val="22"/>
          </w:rPr>
          <w:t>441—86.12</w:t>
        </w:r>
      </w:hyperlink>
      <w:r>
        <w:rPr>
          <w:rFonts w:ascii="Times New Roman" w:hAnsi="Times New Roman"/>
          <w:b w:val="false"/>
          <w:i w:val="false"/>
          <w:color w:val="000000"/>
          <w:sz w:val="22"/>
        </w:rPr>
        <w:t xml:space="preserve">(514I) and </w:t>
      </w:r>
      <w:hyperlink r:id="rId51">
        <w:r>
          <w:rPr>
            <w:rStyle w:val="Hyperlink"/>
            <w:rFonts w:ascii="Times New Roman" w:hAnsi="Times New Roman"/>
            <w:b w:val="false"/>
            <w:i w:val="false"/>
            <w:color w:val="000000"/>
            <w:sz w:val="22"/>
          </w:rPr>
          <w:t>441—86.17</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86.17(2)</w:t>
      </w:r>
      <w:r>
        <w:rPr>
          <w:rFonts w:ascii="Times New Roman" w:hAnsi="Times New Roman"/>
          <w:b w:val="false"/>
          <w:i w:val="false"/>
          <w:color w:val="000000"/>
          <w:sz w:val="22"/>
        </w:rPr>
        <w:t> </w:t>
      </w:r>
      <w:r>
        <w:rPr>
          <w:rFonts w:ascii="Times New Roman" w:hAnsi="Times New Roman"/>
          <w:b w:val="false"/>
          <w:i/>
          <w:color w:val="000000"/>
          <w:sz w:val="22"/>
        </w:rPr>
        <w:t xml:space="preserve">Premiums. </w:t>
      </w:r>
      <w:r>
        <w:rPr>
          <w:rFonts w:ascii="Times New Roman" w:hAnsi="Times New Roman"/>
          <w:b w:val="false"/>
          <w:i w:val="false"/>
          <w:color w:val="000000"/>
          <w:sz w:val="22"/>
        </w:rPr>
        <w:t>Premiums for participation in the supplemental dental-only plan are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premium is charged to families whose countable income is less than or equal to 167 percent of the federal poverty level for a family of the same size using the modified adjusted gross income methodology or to an eligible child who is an American Indian or Alaska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168 percent of the federal poverty level but does not exceed 203 percent of the federal poverty level for a family of the same size, the premium is $5 per child per month with a $10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exceeds 203 percent of the federal poverty level but does not exceed 254 percent of the federal poverty level for a family of the same size, the premium is $10 per child per month with a $15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exceeds 254 percent of the federal poverty level for a family of the same size, the premium is $15 per child per month with a $20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family includes uninsured children who are eligible for both medical and dental coverage under hawki and insured children who are eligible only for dental coverage, the premium will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premium will be no more than the amount that the family would pay if all the children were eligible for both medical and dental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family has one child eligible for both medical and dental coverage and one child eligible for dental coverage only, the premium will be the total of the health and dental premium for one child and the dental premium for one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family has two or more children eligible for both medical and dental coverage, no additional premium shall be assessed for dental-only coverage for the children who do not qualify for medical coverage under hawki because they are covered by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52">
        <w:r>
          <w:rPr>
            <w:rStyle w:val="Hyperlink"/>
            <w:rFonts w:ascii="Times New Roman" w:hAnsi="Times New Roman"/>
            <w:b w:val="false"/>
            <w:i w:val="false"/>
            <w:color w:val="000000"/>
            <w:sz w:val="22"/>
          </w:rPr>
          <w:t>86.8(3)</w:t>
        </w:r>
      </w:hyperlink>
      <w:r>
        <w:rPr>
          <w:rFonts w:ascii="Times New Roman" w:hAnsi="Times New Roman"/>
          <w:b w:val="false"/>
          <w:i w:val="false"/>
          <w:color w:val="000000"/>
          <w:sz w:val="22"/>
        </w:rPr>
        <w:t xml:space="preserve"> through </w:t>
      </w:r>
      <w:hyperlink r:id="rId53">
        <w:r>
          <w:rPr>
            <w:rStyle w:val="Hyperlink"/>
            <w:rFonts w:ascii="Times New Roman" w:hAnsi="Times New Roman"/>
            <w:b w:val="false"/>
            <w:i w:val="false"/>
            <w:color w:val="000000"/>
            <w:sz w:val="22"/>
          </w:rPr>
          <w:t>86.8(6)</w:t>
        </w:r>
      </w:hyperlink>
      <w:r>
        <w:rPr>
          <w:rFonts w:ascii="Times New Roman" w:hAnsi="Times New Roman"/>
          <w:b w:val="false"/>
          <w:i w:val="false"/>
          <w:color w:val="000000"/>
          <w:sz w:val="22"/>
        </w:rPr>
        <w:t xml:space="preserve"> apply to premiums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86.17(3)</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 xml:space="preserve">Before the provisions of subrule </w:t>
      </w:r>
      <w:hyperlink r:id="rId54">
        <w:r>
          <w:rPr>
            <w:rStyle w:val="Hyperlink"/>
            <w:rFonts w:ascii="Times New Roman" w:hAnsi="Times New Roman"/>
            <w:b w:val="false"/>
            <w:i w:val="false"/>
            <w:color w:val="000000"/>
            <w:sz w:val="22"/>
          </w:rPr>
          <w:t>86.3(10)</w:t>
        </w:r>
      </w:hyperlink>
      <w:r>
        <w:rPr>
          <w:rFonts w:ascii="Times New Roman" w:hAnsi="Times New Roman"/>
          <w:b w:val="false"/>
          <w:i w:val="false"/>
          <w:color w:val="000000"/>
          <w:sz w:val="22"/>
        </w:rPr>
        <w:t xml:space="preserve"> are implemented, all children enrolled in supplemental dental-only coverage shall be disenrolled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5">
        <w:r>
          <w:rPr>
            <w:rStyle w:val="Hyperlink"/>
            <w:rFonts w:ascii="Times New Roman" w:hAnsi="Times New Roman"/>
            <w:b w:val="false"/>
            <w:i w:val="false"/>
            <w:color w:val="000000"/>
            <w:sz w:val="22"/>
          </w:rPr>
          <w:t>514I</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2024 Iowa Acts, Senate File 2385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12/23/98 after Notice 11/4/98—published 1/13/99, effective 1/1/99]</w:t>
      </w:r>
    </w:p>
    <w:p>
      <w:pPr>
        <w:spacing w:before="0" w:after="0"/>
        <w:ind w:left="120"/>
        <w:jc w:val="center"/>
      </w:pPr>
      <w:r>
        <w:rPr>
          <w:rFonts w:ascii="Times New Roman" w:hAnsi="Times New Roman"/>
          <w:b w:val="false"/>
          <w:i w:val="false"/>
          <w:color w:val="000000"/>
          <w:sz w:val="21"/>
        </w:rPr>
        <w:t>[Filed emergency 12/23/98—published 1/13/99, effective 1/1/99]</w:t>
      </w:r>
    </w:p>
    <w:p>
      <w:pPr>
        <w:spacing w:before="0" w:after="0"/>
        <w:ind w:left="120"/>
        <w:jc w:val="center"/>
      </w:pPr>
      <w:r>
        <w:rPr>
          <w:rFonts w:ascii="Times New Roman" w:hAnsi="Times New Roman"/>
          <w:b w:val="false"/>
          <w:i w:val="false"/>
          <w:color w:val="000000"/>
          <w:sz w:val="21"/>
        </w:rPr>
        <w:t>[Filed 2/17/99, Notice 1/13/99—published 3/10/99, effective 5/1/99]</w:t>
      </w:r>
    </w:p>
    <w:p>
      <w:pPr>
        <w:spacing w:before="0" w:after="0"/>
        <w:ind w:left="120"/>
        <w:jc w:val="center"/>
      </w:pPr>
      <w:r>
        <w:rPr>
          <w:rFonts w:ascii="Times New Roman" w:hAnsi="Times New Roman"/>
          <w:b w:val="false"/>
          <w:i w:val="false"/>
          <w:color w:val="000000"/>
          <w:sz w:val="21"/>
        </w:rPr>
        <w:t>[Filed emergency 3/22/99—published 4/7/99, effective 4/1/99]</w:t>
      </w:r>
    </w:p>
    <w:p>
      <w:pPr>
        <w:spacing w:before="0" w:after="0"/>
        <w:ind w:left="120"/>
        <w:jc w:val="center"/>
      </w:pPr>
      <w:r>
        <w:rPr>
          <w:rFonts w:ascii="Times New Roman" w:hAnsi="Times New Roman"/>
          <w:b w:val="false"/>
          <w:i w:val="false"/>
          <w:color w:val="000000"/>
          <w:sz w:val="21"/>
        </w:rPr>
        <w:t>[Filed 5/21/99, Notice 4/7/99—published 6/16/99, effective 8/1/99]</w:t>
      </w:r>
    </w:p>
    <w:p>
      <w:pPr>
        <w:spacing w:before="0" w:after="0"/>
        <w:ind w:left="120"/>
        <w:jc w:val="center"/>
      </w:pPr>
      <w:r>
        <w:rPr>
          <w:rFonts w:ascii="Times New Roman" w:hAnsi="Times New Roman"/>
          <w:b w:val="false"/>
          <w:i w:val="false"/>
          <w:color w:val="000000"/>
          <w:sz w:val="21"/>
        </w:rPr>
        <w:t>[Filed 9/21/99, Notice 8/11/99—published 10/20/99, effective 12/1/99]</w:t>
      </w:r>
    </w:p>
    <w:p>
      <w:pPr>
        <w:spacing w:before="0" w:after="0"/>
        <w:ind w:left="120"/>
        <w:jc w:val="center"/>
      </w:pPr>
      <w:r>
        <w:rPr>
          <w:rFonts w:ascii="Times New Roman" w:hAnsi="Times New Roman"/>
          <w:b w:val="false"/>
          <w:i w:val="false"/>
          <w:color w:val="000000"/>
          <w:sz w:val="21"/>
        </w:rPr>
        <w:t>[Filed emergency 1/31/00 after Notice 12/15/99—published 2/23/00, effective 2/1/00]</w:t>
      </w:r>
    </w:p>
    <w:p>
      <w:pPr>
        <w:spacing w:before="0" w:after="0"/>
        <w:ind w:left="120"/>
        <w:jc w:val="center"/>
      </w:pPr>
      <w:r>
        <w:rPr>
          <w:rFonts w:ascii="Times New Roman" w:hAnsi="Times New Roman"/>
          <w:b w:val="false"/>
          <w:i w:val="false"/>
          <w:color w:val="000000"/>
          <w:sz w:val="21"/>
        </w:rPr>
        <w:t>[Filed emergency 5/23/00—published 6/14/00, effective 7/1/00]</w:t>
      </w:r>
    </w:p>
    <w:p>
      <w:pPr>
        <w:spacing w:before="0" w:after="0"/>
        <w:ind w:left="120"/>
        <w:jc w:val="center"/>
      </w:pPr>
      <w:r>
        <w:rPr>
          <w:rFonts w:ascii="Times New Roman" w:hAnsi="Times New Roman"/>
          <w:b w:val="false"/>
          <w:i w:val="false"/>
          <w:color w:val="000000"/>
          <w:sz w:val="21"/>
        </w:rPr>
        <w:t>[Filed 8/30/00, Notice 6/14/00—published 9/20/00, effective 11/1/00]</w:t>
      </w:r>
    </w:p>
    <w:p>
      <w:pPr>
        <w:spacing w:before="0" w:after="0"/>
        <w:ind w:left="120"/>
        <w:jc w:val="center"/>
      </w:pPr>
      <w:r>
        <w:rPr>
          <w:rFonts w:ascii="Times New Roman" w:hAnsi="Times New Roman"/>
          <w:b w:val="false"/>
          <w:i w:val="false"/>
          <w:color w:val="000000"/>
          <w:sz w:val="21"/>
        </w:rPr>
        <w:t>[Filed 12/20/00, Notice 10/18/00—published 1/10/01, effective 3/1/01]</w:t>
      </w:r>
    </w:p>
    <w:p>
      <w:pPr>
        <w:spacing w:before="0" w:after="0"/>
        <w:ind w:left="120"/>
        <w:jc w:val="center"/>
      </w:pPr>
      <w:r>
        <w:rPr>
          <w:rFonts w:ascii="Times New Roman" w:hAnsi="Times New Roman"/>
          <w:b w:val="false"/>
          <w:i w:val="false"/>
          <w:color w:val="000000"/>
          <w:sz w:val="21"/>
        </w:rPr>
        <w:t>[Filed 9/19/01, Notice 8/8/01—published 10/17/01, effective 12/1/01]</w:t>
      </w:r>
    </w:p>
    <w:p>
      <w:pPr>
        <w:spacing w:before="0" w:after="0"/>
        <w:ind w:left="120"/>
        <w:jc w:val="center"/>
      </w:pPr>
      <w:r>
        <w:rPr>
          <w:rFonts w:ascii="Times New Roman" w:hAnsi="Times New Roman"/>
          <w:b w:val="false"/>
          <w:i w:val="false"/>
          <w:color w:val="000000"/>
          <w:sz w:val="21"/>
        </w:rPr>
        <w:t>[Filed 10/23/02, Notice 9/4/02—published 11/13/02, effective 1/1/03]</w:t>
      </w:r>
    </w:p>
    <w:p>
      <w:pPr>
        <w:spacing w:before="0" w:after="0"/>
        <w:ind w:left="120"/>
        <w:jc w:val="center"/>
      </w:pPr>
      <w:r>
        <w:rPr>
          <w:rFonts w:ascii="Times New Roman" w:hAnsi="Times New Roman"/>
          <w:b w:val="false"/>
          <w:i w:val="false"/>
          <w:color w:val="000000"/>
          <w:sz w:val="21"/>
        </w:rPr>
        <w:t>[Filed emergency 6/20/03—published 7/9/03, effective 7/1/03]</w:t>
      </w:r>
    </w:p>
    <w:p>
      <w:pPr>
        <w:spacing w:before="0" w:after="0"/>
        <w:ind w:left="120"/>
        <w:jc w:val="center"/>
      </w:pPr>
      <w:r>
        <w:rPr>
          <w:rFonts w:ascii="Times New Roman" w:hAnsi="Times New Roman"/>
          <w:b w:val="false"/>
          <w:i w:val="false"/>
          <w:color w:val="000000"/>
          <w:sz w:val="21"/>
        </w:rPr>
        <w:t>[Filed 10/23/03, Notice 7/9/03—published 11/12/03, effective 1/1/04]</w:t>
      </w:r>
    </w:p>
    <w:p>
      <w:pPr>
        <w:spacing w:before="0" w:after="0"/>
        <w:ind w:left="120"/>
        <w:jc w:val="center"/>
      </w:pPr>
      <w:r>
        <w:rPr>
          <w:rFonts w:ascii="Times New Roman" w:hAnsi="Times New Roman"/>
          <w:b w:val="false"/>
          <w:i w:val="false"/>
          <w:color w:val="000000"/>
          <w:sz w:val="21"/>
        </w:rPr>
        <w:t>[Filed emergency 12/16/03 after Notice 10/29/03—published 1/7/04, effective 1/1/04]</w:t>
      </w:r>
    </w:p>
    <w:p>
      <w:pPr>
        <w:spacing w:before="0" w:after="0"/>
        <w:ind w:left="120"/>
        <w:jc w:val="center"/>
      </w:pPr>
      <w:r>
        <w:rPr>
          <w:rFonts w:ascii="Times New Roman" w:hAnsi="Times New Roman"/>
          <w:b w:val="false"/>
          <w:i w:val="false"/>
          <w:color w:val="000000"/>
          <w:sz w:val="21"/>
        </w:rPr>
        <w:t>[Filed 7/1/04, Notice 5/12/04—published 7/21/04, effective 9/1/04]</w:t>
      </w:r>
    </w:p>
    <w:p>
      <w:pPr>
        <w:spacing w:before="0" w:after="0"/>
        <w:ind w:left="120"/>
        <w:jc w:val="center"/>
      </w:pPr>
      <w:r>
        <w:rPr>
          <w:rFonts w:ascii="Times New Roman" w:hAnsi="Times New Roman"/>
          <w:b w:val="false"/>
          <w:i w:val="false"/>
          <w:color w:val="000000"/>
          <w:sz w:val="21"/>
        </w:rPr>
        <w:t>[Filed emergency 10/19/04 after Notice 7/21/04—published 11/10/04, effective 11/1/04]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12/22/05, Notice 9/14/05—published 1/18/06, effective 3/1/06]</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2/20/08, Notice 11/21/07—published 3/12/08, effective 4/16/08]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4/8/08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4/8/08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7770B</w:t>
      </w:r>
      <w:r>
        <w:rPr>
          <w:rFonts w:ascii="Times New Roman" w:hAnsi="Times New Roman"/>
          <w:b w:val="false"/>
          <w:i w:val="false"/>
          <w:color w:val="000000"/>
          <w:sz w:val="21"/>
        </w:rPr>
        <w:t xml:space="preserve"> (Notice ARC 7635B, IAB 3/11/09)</w:t>
      </w:r>
      <w:r>
        <w:rPr>
          <w:rFonts w:ascii="Times New Roman" w:hAnsi="Times New Roman"/>
          <w:b w:val="false"/>
          <w:i w:val="false"/>
          <w:color w:val="000000"/>
          <w:sz w:val="21"/>
        </w:rPr>
        <w:t>, IAB 5/20/09, effective 7/1/09]</w:t>
      </w:r>
    </w:p>
    <w:p>
      <w:pPr>
        <w:spacing w:before="0" w:after="0"/>
        <w:ind w:left="120"/>
        <w:jc w:val="center"/>
      </w:pPr>
      <w:r>
        <w:rPr>
          <w:rFonts w:ascii="Times New Roman" w:hAnsi="Times New Roman"/>
          <w:b w:val="false"/>
          <w:i w:val="false"/>
          <w:color w:val="000000"/>
          <w:sz w:val="21"/>
        </w:rPr>
        <w:t>[Filed Emergency ARC 7881B, IAB 7/1/09, effective 7/1/09]</w:t>
      </w:r>
    </w:p>
    <w:p>
      <w:pPr>
        <w:spacing w:before="0" w:after="0"/>
        <w:ind w:left="120"/>
        <w:jc w:val="center"/>
      </w:pPr>
      <w:r>
        <w:rPr>
          <w:rFonts w:ascii="Times New Roman" w:hAnsi="Times New Roman"/>
          <w:b w:val="false"/>
          <w:i w:val="false"/>
          <w:color w:val="000000"/>
          <w:sz w:val="21"/>
        </w:rPr>
        <w:t>[Filed Emergency ARC 8127B, IAB 9/9/09, effective 9/1/09]</w:t>
      </w:r>
      <w:r>
        <w:rPr>
          <w:rFonts w:ascii="Times New Roman" w:hAnsi="Times New Roman"/>
          <w:b w:val="false"/>
          <w:i w:val="false"/>
          <w:color w:val="000000"/>
          <w:sz w:val="21"/>
        </w:rPr>
        <w:t>[Filed ARC 8109B</w:t>
      </w:r>
      <w:r>
        <w:rPr>
          <w:rFonts w:ascii="Times New Roman" w:hAnsi="Times New Roman"/>
          <w:b w:val="false"/>
          <w:i w:val="false"/>
          <w:color w:val="000000"/>
          <w:sz w:val="21"/>
        </w:rPr>
        <w:t xml:space="preserve"> (Notice ARC 7882B,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8281B</w:t>
      </w:r>
      <w:r>
        <w:rPr>
          <w:rFonts w:ascii="Times New Roman" w:hAnsi="Times New Roman"/>
          <w:b w:val="false"/>
          <w:i w:val="false"/>
          <w:color w:val="000000"/>
          <w:sz w:val="21"/>
        </w:rPr>
        <w:t xml:space="preserve"> (Notice ARC 8128B, IAB 9/9/09)</w:t>
      </w:r>
      <w:r>
        <w:rPr>
          <w:rFonts w:ascii="Times New Roman" w:hAnsi="Times New Roman"/>
          <w:b w:val="false"/>
          <w:i w:val="false"/>
          <w:color w:val="000000"/>
          <w:sz w:val="21"/>
        </w:rPr>
        <w:t>, IAB 11/18/09, effective 12/23/09]</w:t>
      </w:r>
      <w:r>
        <w:br/>
      </w:r>
      <w:r>
        <w:rPr>
          <w:rFonts w:ascii="Times New Roman" w:hAnsi="Times New Roman"/>
          <w:b w:val="false"/>
          <w:i w:val="false"/>
          <w:color w:val="000000"/>
          <w:sz w:val="21"/>
        </w:rPr>
        <w:t>[Filed ARC 8280B</w:t>
      </w:r>
      <w:r>
        <w:rPr>
          <w:rFonts w:ascii="Times New Roman" w:hAnsi="Times New Roman"/>
          <w:b w:val="false"/>
          <w:i w:val="false"/>
          <w:color w:val="000000"/>
          <w:sz w:val="21"/>
        </w:rPr>
        <w:t xml:space="preserve"> (Notice ARC 8110B, IAB 9/9/09)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8478B</w:t>
      </w:r>
      <w:r>
        <w:rPr>
          <w:rFonts w:ascii="Times New Roman" w:hAnsi="Times New Roman"/>
          <w:b w:val="false"/>
          <w:i w:val="false"/>
          <w:color w:val="000000"/>
          <w:sz w:val="21"/>
        </w:rPr>
        <w:t xml:space="preserve"> (Notice ARC 8112B, IAB 9/9/09)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8580B</w:t>
      </w:r>
      <w:r>
        <w:rPr>
          <w:rFonts w:ascii="Times New Roman" w:hAnsi="Times New Roman"/>
          <w:b w:val="false"/>
          <w:i w:val="false"/>
          <w:color w:val="000000"/>
          <w:sz w:val="21"/>
        </w:rPr>
        <w:t xml:space="preserve"> (Notice ARC 8279B, IAB 11/18/09)</w:t>
      </w:r>
      <w:r>
        <w:rPr>
          <w:rFonts w:ascii="Times New Roman" w:hAnsi="Times New Roman"/>
          <w:b w:val="false"/>
          <w:i w:val="false"/>
          <w:color w:val="000000"/>
          <w:sz w:val="21"/>
        </w:rPr>
        <w:t>, IAB 3/10/10, effective 3/1/10]</w:t>
      </w:r>
    </w:p>
    <w:p>
      <w:pPr>
        <w:spacing w:before="0" w:after="0"/>
        <w:ind w:left="120"/>
        <w:jc w:val="center"/>
      </w:pPr>
      <w:r>
        <w:rPr>
          <w:rFonts w:ascii="Times New Roman" w:hAnsi="Times New Roman"/>
          <w:b w:val="false"/>
          <w:i w:val="false"/>
          <w:color w:val="000000"/>
          <w:sz w:val="21"/>
        </w:rPr>
        <w:t>[Filed Emergency After Notice ARC 8838B</w:t>
      </w:r>
      <w:r>
        <w:rPr>
          <w:rFonts w:ascii="Times New Roman" w:hAnsi="Times New Roman"/>
          <w:b w:val="false"/>
          <w:i w:val="false"/>
          <w:color w:val="000000"/>
          <w:sz w:val="21"/>
        </w:rPr>
        <w:t xml:space="preserve"> (Notice ARC 8479B, IAB 1/13/10)</w:t>
      </w:r>
      <w:r>
        <w:rPr>
          <w:rFonts w:ascii="Times New Roman" w:hAnsi="Times New Roman"/>
          <w:b w:val="false"/>
          <w:i w:val="false"/>
          <w:color w:val="000000"/>
          <w:sz w:val="21"/>
        </w:rPr>
        <w:t>, IAB 6/16/10, effective 6/1/10]</w:t>
      </w:r>
      <w:r>
        <w:br/>
      </w:r>
      <w:r>
        <w:rPr>
          <w:rFonts w:ascii="Times New Roman" w:hAnsi="Times New Roman"/>
          <w:b w:val="false"/>
          <w:i w:val="false"/>
          <w:color w:val="000000"/>
          <w:sz w:val="21"/>
        </w:rPr>
        <w:t>[Filed ARC 8839B</w:t>
      </w:r>
      <w:r>
        <w:rPr>
          <w:rFonts w:ascii="Times New Roman" w:hAnsi="Times New Roman"/>
          <w:b w:val="false"/>
          <w:i w:val="false"/>
          <w:color w:val="000000"/>
          <w:sz w:val="21"/>
        </w:rPr>
        <w:t xml:space="preserve"> (Notice ARC 8581B, IAB 3/10/10)</w:t>
      </w:r>
      <w:r>
        <w:rPr>
          <w:rFonts w:ascii="Times New Roman" w:hAnsi="Times New Roman"/>
          <w:b w:val="false"/>
          <w:i w:val="false"/>
          <w:color w:val="000000"/>
          <w:sz w:val="21"/>
        </w:rPr>
        <w:t>, IAB 6/16/10, effective 8/1/10]</w:t>
      </w:r>
    </w:p>
    <w:p>
      <w:pPr>
        <w:spacing w:before="0" w:after="0"/>
        <w:ind w:left="120"/>
        <w:jc w:val="center"/>
      </w:pPr>
      <w:r>
        <w:rPr>
          <w:rFonts w:ascii="Times New Roman" w:hAnsi="Times New Roman"/>
          <w:b w:val="false"/>
          <w:i w:val="false"/>
          <w:color w:val="000000"/>
          <w:sz w:val="21"/>
        </w:rPr>
        <w:t>[Filed Emergency After Notice ARC 9083B</w:t>
      </w:r>
      <w:r>
        <w:rPr>
          <w:rFonts w:ascii="Times New Roman" w:hAnsi="Times New Roman"/>
          <w:b w:val="false"/>
          <w:i w:val="false"/>
          <w:color w:val="000000"/>
          <w:sz w:val="21"/>
        </w:rPr>
        <w:t xml:space="preserve"> (Notice ARC 8840B, IAB 6/16/10)</w:t>
      </w:r>
      <w:r>
        <w:rPr>
          <w:rFonts w:ascii="Times New Roman" w:hAnsi="Times New Roman"/>
          <w:b w:val="false"/>
          <w:i w:val="false"/>
          <w:color w:val="000000"/>
          <w:sz w:val="21"/>
        </w:rPr>
        <w:t>, IAB 9/22/10, effective 9/1/10]</w:t>
      </w:r>
      <w:r>
        <w:br/>
      </w:r>
      <w:r>
        <w:rPr>
          <w:rFonts w:ascii="Times New Roman" w:hAnsi="Times New Roman"/>
          <w:b w:val="false"/>
          <w:i w:val="false"/>
          <w:color w:val="000000"/>
          <w:sz w:val="21"/>
        </w:rPr>
        <w:t>[Filed Emergency After Notice ARC 9084B</w:t>
      </w:r>
      <w:r>
        <w:rPr>
          <w:rFonts w:ascii="Times New Roman" w:hAnsi="Times New Roman"/>
          <w:b w:val="false"/>
          <w:i w:val="false"/>
          <w:color w:val="000000"/>
          <w:sz w:val="21"/>
        </w:rPr>
        <w:t xml:space="preserve"> (Notice ARC 8841B, IAB 6/16/10)</w:t>
      </w:r>
      <w:r>
        <w:rPr>
          <w:rFonts w:ascii="Times New Roman" w:hAnsi="Times New Roman"/>
          <w:b w:val="false"/>
          <w:i w:val="false"/>
          <w:color w:val="000000"/>
          <w:sz w:val="21"/>
        </w:rPr>
        <w:t>, IAB 9/22/10, effective 9/1/10]</w:t>
      </w:r>
    </w:p>
    <w:p>
      <w:pPr>
        <w:spacing w:before="0" w:after="0"/>
        <w:ind w:left="120"/>
        <w:jc w:val="center"/>
      </w:pPr>
      <w:r>
        <w:rPr>
          <w:rFonts w:ascii="Times New Roman" w:hAnsi="Times New Roman"/>
          <w:b w:val="false"/>
          <w:i w:val="false"/>
          <w:color w:val="000000"/>
          <w:sz w:val="21"/>
        </w:rPr>
        <w:t>[Filed ARC 0552C</w:t>
      </w:r>
      <w:r>
        <w:rPr>
          <w:rFonts w:ascii="Times New Roman" w:hAnsi="Times New Roman"/>
          <w:b w:val="false"/>
          <w:i w:val="false"/>
          <w:color w:val="000000"/>
          <w:sz w:val="21"/>
        </w:rPr>
        <w:t xml:space="preserve"> (Notice ARC 0332C, IAB 9/19/12)</w:t>
      </w:r>
      <w:r>
        <w:rPr>
          <w:rFonts w:ascii="Times New Roman" w:hAnsi="Times New Roman"/>
          <w:b w:val="false"/>
          <w:i w:val="false"/>
          <w:color w:val="000000"/>
          <w:sz w:val="21"/>
        </w:rPr>
        <w:t>, IAB 1/9/13, effective 4/1/13]</w:t>
      </w:r>
    </w:p>
    <w:p>
      <w:pPr>
        <w:spacing w:before="0" w:after="0"/>
        <w:ind w:left="120"/>
        <w:jc w:val="center"/>
      </w:pPr>
      <w:r>
        <w:rPr>
          <w:rFonts w:ascii="Times New Roman" w:hAnsi="Times New Roman"/>
          <w:b w:val="false"/>
          <w:i w:val="false"/>
          <w:color w:val="000000"/>
          <w:sz w:val="21"/>
        </w:rPr>
        <w:t>[Filed ARC 0837C</w:t>
      </w:r>
      <w:r>
        <w:rPr>
          <w:rFonts w:ascii="Times New Roman" w:hAnsi="Times New Roman"/>
          <w:b w:val="false"/>
          <w:i w:val="false"/>
          <w:color w:val="000000"/>
          <w:sz w:val="21"/>
        </w:rPr>
        <w:t xml:space="preserve"> (Notice ARC 0747C, IAB 5/15/13)</w:t>
      </w:r>
      <w:r>
        <w:rPr>
          <w:rFonts w:ascii="Times New Roman" w:hAnsi="Times New Roman"/>
          <w:b w:val="false"/>
          <w:i w:val="false"/>
          <w:color w:val="000000"/>
          <w:sz w:val="21"/>
        </w:rPr>
        <w:t>, IAB 7/24/13, effective 10/1/13]</w:t>
      </w:r>
    </w:p>
    <w:p>
      <w:pPr>
        <w:spacing w:before="0" w:after="0"/>
        <w:ind w:left="120"/>
        <w:jc w:val="center"/>
      </w:pPr>
      <w:r>
        <w:rPr>
          <w:rFonts w:ascii="Times New Roman" w:hAnsi="Times New Roman"/>
          <w:b w:val="false"/>
          <w:i w:val="false"/>
          <w:color w:val="000000"/>
          <w:sz w:val="21"/>
        </w:rPr>
        <w:t>[Filed Emergency After Notice ARC 1287C</w:t>
      </w:r>
      <w:r>
        <w:rPr>
          <w:rFonts w:ascii="Times New Roman" w:hAnsi="Times New Roman"/>
          <w:b w:val="false"/>
          <w:i w:val="false"/>
          <w:color w:val="000000"/>
          <w:sz w:val="21"/>
        </w:rPr>
        <w:t xml:space="preserve"> (Notice ARC 1183C, IAB 11/13/13)</w:t>
      </w:r>
      <w:r>
        <w:rPr>
          <w:rFonts w:ascii="Times New Roman" w:hAnsi="Times New Roman"/>
          <w:b w:val="false"/>
          <w:i w:val="false"/>
          <w:color w:val="000000"/>
          <w:sz w:val="21"/>
        </w:rPr>
        <w:t>, IAB 1/8/14, effective 1/1/14]</w:t>
      </w:r>
    </w:p>
    <w:p>
      <w:pPr>
        <w:spacing w:before="0" w:after="0"/>
        <w:ind w:left="120"/>
        <w:jc w:val="center"/>
      </w:pPr>
      <w:r>
        <w:rPr>
          <w:rFonts w:ascii="Times New Roman" w:hAnsi="Times New Roman"/>
          <w:b w:val="false"/>
          <w:i w:val="false"/>
          <w:color w:val="000000"/>
          <w:sz w:val="21"/>
        </w:rPr>
        <w:t>[Filed ARC 2912C</w:t>
      </w:r>
      <w:r>
        <w:rPr>
          <w:rFonts w:ascii="Times New Roman" w:hAnsi="Times New Roman"/>
          <w:b w:val="false"/>
          <w:i w:val="false"/>
          <w:color w:val="000000"/>
          <w:sz w:val="21"/>
        </w:rPr>
        <w:t xml:space="preserve"> (Notice ARC 2784C, IAB 10/26/16)</w:t>
      </w:r>
      <w:r>
        <w:rPr>
          <w:rFonts w:ascii="Times New Roman" w:hAnsi="Times New Roman"/>
          <w:b w:val="false"/>
          <w:i w:val="false"/>
          <w:color w:val="000000"/>
          <w:sz w:val="21"/>
        </w:rPr>
        <w:t>, IAB 1/18/17, effective 3/1/17]</w:t>
      </w:r>
    </w:p>
    <w:p>
      <w:pPr>
        <w:spacing w:before="0" w:after="0"/>
        <w:ind w:left="120"/>
        <w:jc w:val="center"/>
      </w:pPr>
      <w:r>
        <w:rPr>
          <w:rFonts w:ascii="Times New Roman" w:hAnsi="Times New Roman"/>
          <w:b w:val="false"/>
          <w:i w:val="false"/>
          <w:color w:val="000000"/>
          <w:sz w:val="21"/>
        </w:rPr>
        <w:t>[Filed ARC 4779C</w:t>
      </w:r>
      <w:r>
        <w:rPr>
          <w:rFonts w:ascii="Times New Roman" w:hAnsi="Times New Roman"/>
          <w:b w:val="false"/>
          <w:i w:val="false"/>
          <w:color w:val="000000"/>
          <w:sz w:val="21"/>
        </w:rPr>
        <w:t xml:space="preserve"> (Notice ARC 4627C, IAB 8/28/19)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5141C</w:t>
      </w:r>
      <w:r>
        <w:rPr>
          <w:rFonts w:ascii="Times New Roman" w:hAnsi="Times New Roman"/>
          <w:b w:val="false"/>
          <w:i w:val="false"/>
          <w:color w:val="000000"/>
          <w:sz w:val="21"/>
        </w:rPr>
        <w:t xml:space="preserve"> (Notice ARC 4912C, IAB 2/12/20)</w:t>
      </w:r>
      <w:r>
        <w:rPr>
          <w:rFonts w:ascii="Times New Roman" w:hAnsi="Times New Roman"/>
          <w:b w:val="false"/>
          <w:i w:val="false"/>
          <w:color w:val="000000"/>
          <w:sz w:val="21"/>
        </w:rPr>
        <w:t>, IAB 8/12/20, effective 12/1/20]</w:t>
      </w:r>
    </w:p>
    <w:p>
      <w:pPr>
        <w:spacing w:before="0" w:after="0"/>
        <w:ind w:left="120"/>
        <w:jc w:val="center"/>
      </w:pPr>
      <w:r>
        <w:rPr>
          <w:rFonts w:ascii="Times New Roman" w:hAnsi="Times New Roman"/>
          <w:b w:val="false"/>
          <w:i w:val="false"/>
          <w:color w:val="000000"/>
          <w:sz w:val="21"/>
        </w:rPr>
        <w:t>[Filed ARC 9468C</w:t>
      </w:r>
      <w:r>
        <w:rPr>
          <w:rFonts w:ascii="Times New Roman" w:hAnsi="Times New Roman"/>
          <w:b w:val="false"/>
          <w:i w:val="false"/>
          <w:color w:val="000000"/>
          <w:sz w:val="21"/>
        </w:rPr>
        <w:t xml:space="preserve"> (Notice ARC 8571C, IAB 12/25/24)</w:t>
      </w:r>
      <w:r>
        <w:rPr>
          <w:rFonts w:ascii="Times New Roman" w:hAnsi="Times New Roman"/>
          <w:b w:val="false"/>
          <w:i w:val="false"/>
          <w:color w:val="000000"/>
          <w:sz w:val="21"/>
        </w:rPr>
        <w:t>, IAB 8/6/25, effective 10/1/25]</w:t>
      </w:r>
    </w:p>
    <w:p>
      <w:pPr>
        <w:spacing w:before="0" w:after="0"/>
        <w:ind w:left="120"/>
        <w:jc w:val="center"/>
      </w:pPr>
      <w:r>
        <w:rPr>
          <w:rFonts w:ascii="Times New Roman" w:hAnsi="Times New Roman"/>
          <w:b w:val="false"/>
          <w:i w:val="false"/>
          <w:color w:val="000000"/>
          <w:sz w:val="21"/>
        </w:rPr>
        <w:t>[Filed ARC 9952C</w:t>
      </w:r>
      <w:r>
        <w:rPr>
          <w:rFonts w:ascii="Times New Roman" w:hAnsi="Times New Roman"/>
          <w:b w:val="false"/>
          <w:i w:val="false"/>
          <w:color w:val="000000"/>
          <w:sz w:val="21"/>
        </w:rPr>
        <w:t xml:space="preserve"> (Notice ARC 9660C, IAB 11/12/25)</w:t>
      </w:r>
      <w:r>
        <w:rPr>
          <w:rFonts w:ascii="Times New Roman" w:hAnsi="Times New Roman"/>
          <w:b w:val="false"/>
          <w:i w:val="false"/>
          <w:color w:val="000000"/>
          <w:sz w:val="21"/>
        </w:rPr>
        <w:t>, IAB 1/7/26, effective 3/1/26]</w:t>
      </w:r>
    </w:p>
    <w:sectPr>
      <w:footerReference r:id="rId5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86.10.pdf" Type="http://schemas.openxmlformats.org/officeDocument/2006/relationships/hyperlink" Id="rId5"/>
    <Relationship TargetMode="External" Target="https://www.legis.iowa.gov/docs/ico/chapter/514I.10.pdf" Type="http://schemas.openxmlformats.org/officeDocument/2006/relationships/hyperlink" Id="rId6"/>
    <Relationship TargetMode="External" Target="https://www.legis.iowa.gov/docs/iac/rule/441.86.14.pdf" Type="http://schemas.openxmlformats.org/officeDocument/2006/relationships/hyperlink" Id="rId7"/>
    <Relationship TargetMode="External" Target="https://www.legis.iowa.gov/docs/iac/rule/441.86.2.pdf" Type="http://schemas.openxmlformats.org/officeDocument/2006/relationships/hyperlink" Id="rId8"/>
    <Relationship TargetMode="External" Target="https://www.legis.iowa.gov/docs/ico/chapter/249A.4B.pdf" Type="http://schemas.openxmlformats.org/officeDocument/2006/relationships/hyperlink" Id="rId9"/>
    <Relationship TargetMode="External" Target="https://www.legis.iowa.gov/docs/ico/chapter/135.1.pdf" Type="http://schemas.openxmlformats.org/officeDocument/2006/relationships/hyperlink" Id="rId10"/>
    <Relationship TargetMode="External" Target="https://www.legis.iowa.gov/docs/iac/rule/441.86.8.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ac/rule/441.75.10.pdf" Type="http://schemas.openxmlformats.org/officeDocument/2006/relationships/hyperlink" Id="rId13"/>
    <Relationship TargetMode="External" Target="https://www.legis.iowa.gov/docs/iac/rule/441.75.11.pdf" Type="http://schemas.openxmlformats.org/officeDocument/2006/relationships/hyperlink" Id="rId14"/>
    <Relationship TargetMode="External" Target="https://www.legis.iowa.gov/docs/iac/rule/441.75.11.pdf" Type="http://schemas.openxmlformats.org/officeDocument/2006/relationships/hyperlink" Id="rId15"/>
    <Relationship TargetMode="External" Target="https://www.legis.iowa.gov/docs/iac/rule/441.86.2.pdf" Type="http://schemas.openxmlformats.org/officeDocument/2006/relationships/hyperlink" Id="rId16"/>
    <Relationship TargetMode="External" Target="https://www.legis.iowa.gov/docs/iac/rule/441.75.11.pdf" Type="http://schemas.openxmlformats.org/officeDocument/2006/relationships/hyperlink" Id="rId17"/>
    <Relationship TargetMode="External" Target="https://www.legis.iowa.gov/docs/iac/rule/441.75.11.pdf" Type="http://schemas.openxmlformats.org/officeDocument/2006/relationships/hyperlink" Id="rId18"/>
    <Relationship TargetMode="External" Target="https://www.legis.iowa.gov/docs/iac/rule/441.75.7.pdf" Type="http://schemas.openxmlformats.org/officeDocument/2006/relationships/hyperlink" Id="rId19"/>
    <Relationship TargetMode="External" Target="https://www.legis.iowa.gov/docs/iac/rule/441.76.1.pdf" Type="http://schemas.openxmlformats.org/officeDocument/2006/relationships/hyperlink" Id="rId20"/>
    <Relationship TargetMode="External" Target="https://www.legis.iowa.gov/docs/iac/rule/441.86.20.pdf" Type="http://schemas.openxmlformats.org/officeDocument/2006/relationships/hyperlink" Id="rId21"/>
    <Relationship TargetMode="External" Target="https://www.legis.iowa.gov/docs/iac/rule/441.76.1.pdf" Type="http://schemas.openxmlformats.org/officeDocument/2006/relationships/hyperlink" Id="rId22"/>
    <Relationship TargetMode="External" Target="https://www.legis.iowa.gov/docs/iac/rule/441.75.1.pdf" Type="http://schemas.openxmlformats.org/officeDocument/2006/relationships/hyperlink" Id="rId23"/>
    <Relationship TargetMode="External" Target="https://www.legis.iowa.gov/docs/iac/rule/441.75.1.pdf" Type="http://schemas.openxmlformats.org/officeDocument/2006/relationships/hyperlink" Id="rId24"/>
    <Relationship TargetMode="External" Target="https://www.legis.iowa.gov/docs/iac/rule/441.75.1.pdf" Type="http://schemas.openxmlformats.org/officeDocument/2006/relationships/hyperlink" Id="rId25"/>
    <Relationship TargetMode="External" Target="https://www.legis.iowa.gov/docs/iac/rule/441.75.1.pdf" Type="http://schemas.openxmlformats.org/officeDocument/2006/relationships/hyperlink" Id="rId26"/>
    <Relationship TargetMode="External" Target="https://www.legis.iowa.gov/docs/iac/rule/441.75.1.pdf" Type="http://schemas.openxmlformats.org/officeDocument/2006/relationships/hyperlink" Id="rId27"/>
    <Relationship TargetMode="External" Target="https://www.legis.iowa.gov/docs/iac/rule/441.75.1.pdf" Type="http://schemas.openxmlformats.org/officeDocument/2006/relationships/hyperlink" Id="rId28"/>
    <Relationship TargetMode="External" Target="https://www.legis.iowa.gov/docs/iac/rule/441.86.2.pdf" Type="http://schemas.openxmlformats.org/officeDocument/2006/relationships/hyperlink" Id="rId29"/>
    <Relationship TargetMode="External" Target="https://www.legis.iowa.gov/docs/iac/rule/441.86.6.pdf" Type="http://schemas.openxmlformats.org/officeDocument/2006/relationships/hyperlink" Id="rId30"/>
    <Relationship TargetMode="External" Target="https://www.legis.iowa.gov/docs/iac/rule/441.86.6.pdf" Type="http://schemas.openxmlformats.org/officeDocument/2006/relationships/hyperlink" Id="rId31"/>
    <Relationship TargetMode="External" Target="https://www.legis.iowa.gov/docs/iac/rule/441.86.7.pdf" Type="http://schemas.openxmlformats.org/officeDocument/2006/relationships/hyperlink" Id="rId32"/>
    <Relationship TargetMode="External" Target="https://www.legis.iowa.gov/docs/iac/rule/441.86.6.pdf" Type="http://schemas.openxmlformats.org/officeDocument/2006/relationships/hyperlink" Id="rId33"/>
    <Relationship TargetMode="External" Target="https://www.legis.iowa.gov/docs/iac/rule/441.75.10.pdf" Type="http://schemas.openxmlformats.org/officeDocument/2006/relationships/hyperlink" Id="rId34"/>
    <Relationship TargetMode="External" Target="https://www.legis.iowa.gov/docs/iac/rule/441.86.20.pdf" Type="http://schemas.openxmlformats.org/officeDocument/2006/relationships/hyperlink" Id="rId35"/>
    <Relationship TargetMode="External" Target="https://www.legis.iowa.gov/docs/iac/rule/441.86.8.pdf" Type="http://schemas.openxmlformats.org/officeDocument/2006/relationships/hyperlink" Id="rId36"/>
    <Relationship TargetMode="External" Target="https://www.legis.iowa.gov/docs/iac/rule/441.86.3.pdf" Type="http://schemas.openxmlformats.org/officeDocument/2006/relationships/hyperlink" Id="rId37"/>
    <Relationship TargetMode="External" Target="https://www.legis.iowa.gov/docs/iac/rule/441.86.3.pdf" Type="http://schemas.openxmlformats.org/officeDocument/2006/relationships/hyperlink" Id="rId38"/>
    <Relationship TargetMode="External" Target="https://www.legis.iowa.gov/docs/iac/rule/441.86.11.pdf" Type="http://schemas.openxmlformats.org/officeDocument/2006/relationships/hyperlink" Id="rId39"/>
    <Relationship TargetMode="External" Target="https://www.legis.iowa.gov/docs/iac/rule/441.86.3.pdf" Type="http://schemas.openxmlformats.org/officeDocument/2006/relationships/hyperlink" Id="rId40"/>
    <Relationship TargetMode="External" Target="https://www.legis.iowa.gov/docs/iac/rule/441.16.2.pdf" Type="http://schemas.openxmlformats.org/officeDocument/2006/relationships/hyperlink" Id="rId41"/>
    <Relationship TargetMode="External" Target="https://www.legis.iowa.gov/docs/iac/chapter/441.7.pdf" Type="http://schemas.openxmlformats.org/officeDocument/2006/relationships/hyperlink" Id="rId42"/>
    <Relationship TargetMode="External" Target="https://www.legis.iowa.gov/docs/iac/rule/441.86.13.pdf" Type="http://schemas.openxmlformats.org/officeDocument/2006/relationships/hyperlink" Id="rId43"/>
    <Relationship TargetMode="External" Target="https://www.legis.iowa.gov/docs/iac/rule/441.79.3.pdf" Type="http://schemas.openxmlformats.org/officeDocument/2006/relationships/hyperlink" Id="rId44"/>
    <Relationship TargetMode="External" Target="https://www.legis.iowa.gov/docs/ico/chapter/228.7.pdf" Type="http://schemas.openxmlformats.org/officeDocument/2006/relationships/hyperlink" Id="rId45"/>
    <Relationship TargetMode="External" Target="https://www.legis.iowa.gov/docs/iac/rule/441.86.14.pdf" Type="http://schemas.openxmlformats.org/officeDocument/2006/relationships/hyperlink" Id="rId46"/>
    <Relationship TargetMode="External" Target="https://www.legis.iowa.gov/docs/iac/chapter/441.11.pdf" Type="http://schemas.openxmlformats.org/officeDocument/2006/relationships/hyperlink" Id="rId47"/>
    <Relationship TargetMode="External" Target="https://www.legis.iowa.gov/docs/iac/chapter/441.7.pdf" Type="http://schemas.openxmlformats.org/officeDocument/2006/relationships/hyperlink" Id="rId48"/>
    <Relationship TargetMode="External" Target="https://www.legis.iowa.gov/docs/iac/rule/441.86.2.pdf" Type="http://schemas.openxmlformats.org/officeDocument/2006/relationships/hyperlink" Id="rId49"/>
    <Relationship TargetMode="External" Target="https://www.legis.iowa.gov/docs/iac/rule/441.86.12.pdf" Type="http://schemas.openxmlformats.org/officeDocument/2006/relationships/hyperlink" Id="rId50"/>
    <Relationship TargetMode="External" Target="https://www.legis.iowa.gov/docs/iac/rule/441.86.17.pdf" Type="http://schemas.openxmlformats.org/officeDocument/2006/relationships/hyperlink" Id="rId51"/>
    <Relationship TargetMode="External" Target="https://www.legis.iowa.gov/docs/iac/rule/441.86.8.pdf" Type="http://schemas.openxmlformats.org/officeDocument/2006/relationships/hyperlink" Id="rId52"/>
    <Relationship TargetMode="External" Target="https://www.legis.iowa.gov/docs/iac/rule/441.86.8.pdf" Type="http://schemas.openxmlformats.org/officeDocument/2006/relationships/hyperlink" Id="rId53"/>
    <Relationship TargetMode="External" Target="https://www.legis.iowa.gov/docs/iac/rule/441.86.3.pdf" Type="http://schemas.openxmlformats.org/officeDocument/2006/relationships/hyperlink" Id="rId54"/>
    <Relationship TargetMode="External" Target="https://www.legis.iowa.gov/docs/ico/chapter/514I.pdf" Type="http://schemas.openxmlformats.org/officeDocument/2006/relationships/hyperlink" Id="rId55"/>
    <Relationship Target="footer.xml" Type="http://schemas.openxmlformats.org/officeDocument/2006/relationships/footer"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