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462 on Windows Server 2022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76</w:t>
      </w:r>
    </w:p>
    <w:p>
      <w:pPr>
        <w:spacing w:before="0" w:after="0"/>
        <w:ind w:left="120"/>
        <w:jc w:val="center"/>
      </w:pPr>
      <w:r>
        <w:rPr>
          <w:rFonts w:ascii="Times New Roman" w:hAnsi="Times New Roman"/>
          <w:b w:val="false"/>
          <w:i w:val="false"/>
          <w:color w:val="000000"/>
          <w:sz w:val="21"/>
        </w:rPr>
        <w:t>ENROLLMENT AND REENROLLMENT</w:t>
      </w:r>
    </w:p>
    <w:p>
      <w:pPr>
        <w:spacing w:before="0" w:after="0"/>
        <w:ind w:left="120"/>
        <w:jc w:val="center"/>
      </w:pPr>
      <w:r>
        <w:rPr>
          <w:rFonts w:ascii="Times New Roman" w:hAnsi="Times New Roman"/>
          <w:b w:val="false"/>
          <w:i w:val="false"/>
          <w:color w:val="000000"/>
          <w:sz w:val="14"/>
        </w:rPr>
        <w:t>[Ch 76, 1973 IDR, renumbered as Ch 911]</w:t>
      </w:r>
    </w:p>
    <w:p>
      <w:pPr>
        <w:spacing w:before="0" w:after="0"/>
        <w:ind w:left="120"/>
        <w:jc w:val="center"/>
      </w:pPr>
      <w:r>
        <w:rPr>
          <w:rFonts w:ascii="Times New Roman" w:hAnsi="Times New Roman"/>
          <w:b w:val="false"/>
          <w:i w:val="false"/>
          <w:color w:val="000000"/>
          <w:sz w:val="14"/>
        </w:rPr>
        <w:t>[Prior to 7/l/83, Social Services[770] Ch 76]</w:t>
      </w:r>
    </w:p>
    <w:p>
      <w:pPr>
        <w:spacing w:before="0" w:after="0"/>
        <w:ind w:left="120"/>
        <w:jc w:val="center"/>
      </w:pPr>
      <w:r>
        <w:rPr>
          <w:rFonts w:ascii="Times New Roman" w:hAnsi="Times New Roman"/>
          <w:b w:val="false"/>
          <w:i w:val="false"/>
          <w:color w:val="000000"/>
          <w:sz w:val="14"/>
        </w:rPr>
        <w:t>[Prior to 2/11/87, Human Services[498]]</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1/1/31</w:t>
      </w:r>
    </w:p>
    <w:p>
      <w:pPr>
        <w:spacing w:before="0" w:after="0"/>
        <w:ind w:left="120"/>
        <w:jc w:val="both"/>
      </w:pPr>
      <w:r>
        <w:rPr>
          <w:rFonts w:ascii="Times New Roman" w:hAnsi="Times New Roman"/>
          <w:b/>
          <w:i w:val="false"/>
          <w:color w:val="000000"/>
          <w:sz w:val="22"/>
        </w:rPr>
        <w:t>441—76.1</w:t>
      </w:r>
      <w:r>
        <w:rPr>
          <w:rFonts w:ascii="Times New Roman" w:hAnsi="Times New Roman"/>
          <w:b/>
          <w:i w:val="false"/>
          <w:color w:val="000000"/>
          <w:sz w:val="22"/>
        </w:rPr>
        <w:t xml:space="preserve">(249A)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following definitions apply to this chapter in addition to the definitions in rule </w:t>
      </w:r>
      <w:hyperlink r:id="rId5">
        <w:r>
          <w:rPr>
            <w:rStyle w:val="Hyperlink"/>
            <w:rFonts w:ascii="Times New Roman" w:hAnsi="Times New Roman"/>
            <w:b w:val="false"/>
            <w:i w:val="false"/>
            <w:color w:val="000000"/>
            <w:sz w:val="22"/>
          </w:rPr>
          <w:t>441—75.1</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“the Act” </w:t>
      </w:r>
      <w:r>
        <w:rPr>
          <w:rFonts w:ascii="Times New Roman" w:hAnsi="Times New Roman"/>
          <w:b w:val="false"/>
          <w:i w:val="false"/>
          <w:color w:val="000000"/>
          <w:sz w:val="22"/>
        </w:rPr>
        <w:t>means the federal Social Security Act, and all references herein are as amended to August 1, 2025.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“Authorized representative” </w:t>
      </w:r>
      <w:r>
        <w:rPr>
          <w:rFonts w:ascii="Times New Roman" w:hAnsi="Times New Roman"/>
          <w:b w:val="false"/>
          <w:i w:val="false"/>
          <w:color w:val="000000"/>
          <w:sz w:val="22"/>
        </w:rPr>
        <w:t xml:space="preserve">means an individual or organization authorized by a competent applicant or member, authorized by a responsible person acting for an incompetent applicant or member pursuant to subrule </w:t>
      </w:r>
      <w:hyperlink r:id="rId6">
        <w:r>
          <w:rPr>
            <w:rStyle w:val="Hyperlink"/>
            <w:rFonts w:ascii="Times New Roman" w:hAnsi="Times New Roman"/>
            <w:b w:val="false"/>
            <w:i w:val="false"/>
            <w:color w:val="000000"/>
            <w:sz w:val="22"/>
          </w:rPr>
          <w:t>76.9(2)</w:t>
        </w:r>
      </w:hyperlink>
      <w:r>
        <w:rPr>
          <w:rFonts w:ascii="Times New Roman" w:hAnsi="Times New Roman"/>
          <w:b w:val="false"/>
          <w:i w:val="false"/>
          <w:color w:val="000000"/>
          <w:sz w:val="22"/>
        </w:rPr>
        <w:t xml:space="preserve">, or with other legal authority to represent the applicant or member in the application process, the review of eligibility and other ongoing communications with the department.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“Business hours”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“HHS business hours” </w:t>
      </w:r>
      <w:r>
        <w:rPr>
          <w:rFonts w:ascii="Times New Roman" w:hAnsi="Times New Roman"/>
          <w:b w:val="false"/>
          <w:i w:val="false"/>
          <w:color w:val="000000"/>
          <w:sz w:val="22"/>
        </w:rPr>
        <w:t xml:space="preserve">means the hours between 8 a.m. and 4:30 p.m. Central Time during a weekday (Monday through Friday), excluding public holidays.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“Code of Federal Regulations”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“CFR” </w:t>
      </w:r>
      <w:r>
        <w:rPr>
          <w:rFonts w:ascii="Times New Roman" w:hAnsi="Times New Roman"/>
          <w:b w:val="false"/>
          <w:i w:val="false"/>
          <w:color w:val="000000"/>
          <w:sz w:val="22"/>
        </w:rPr>
        <w:t xml:space="preserve">means the United States Code of Federal Regulations. All references to the CFR herein are as amended to August 1, 2025, unless another effective date is specified.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“Electronic account” </w:t>
      </w:r>
      <w:r>
        <w:rPr>
          <w:rFonts w:ascii="Times New Roman" w:hAnsi="Times New Roman"/>
          <w:b w:val="false"/>
          <w:i w:val="false"/>
          <w:color w:val="000000"/>
          <w:sz w:val="22"/>
        </w:rPr>
        <w:t>means a web-based account established by the department for an applicant or member for communication between the department and the applicant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“Electronic case record” </w:t>
      </w:r>
      <w:r>
        <w:rPr>
          <w:rFonts w:ascii="Times New Roman" w:hAnsi="Times New Roman"/>
          <w:b w:val="false"/>
          <w:i w:val="false"/>
          <w:color w:val="000000"/>
          <w:sz w:val="22"/>
        </w:rPr>
        <w:t xml:space="preserve">means an electronic file that includes all information collected and generated by the department regarding each individual’s Medicaid eligibility and enrollment.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“Electronic date sources”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“EDS” </w:t>
      </w:r>
      <w:r>
        <w:rPr>
          <w:rFonts w:ascii="Times New Roman" w:hAnsi="Times New Roman"/>
          <w:b w:val="false"/>
          <w:i w:val="false"/>
          <w:color w:val="000000"/>
          <w:sz w:val="22"/>
        </w:rPr>
        <w:t>means federal and state data sources with which the department conducts data matches for the purpose of determining eligibility. Federal data sources include the Internal Revenue Service (IRS), the Social Security Administration (SSA) and the United States Department of Homeland Security. State data sources include Iowa workforce development (IWD) wage and unemployment compensation, SSA, IRS, and the Public Assistance Reporting Information System (PARIS).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“Federally Facilitated Marketplace”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“FFM” </w:t>
      </w:r>
      <w:r>
        <w:rPr>
          <w:rFonts w:ascii="Times New Roman" w:hAnsi="Times New Roman"/>
          <w:b w:val="false"/>
          <w:i w:val="false"/>
          <w:color w:val="000000"/>
          <w:sz w:val="22"/>
        </w:rPr>
        <w:t xml:space="preserve">means the health insurance marketplace established by the United States Secretary of Health and Human Services for states that choose not to set up their own marketplace or that do not get approval for one </w:t>
      </w:r>
      <w:r>
        <w:rPr>
          <w:rFonts w:ascii="Times New Roman" w:hAnsi="Times New Roman"/>
          <w:b w:val="false"/>
          <w:i w:val="false"/>
          <w:color w:val="000000"/>
          <w:sz w:val="22"/>
        </w:rPr>
        <w:t>pursuant to 42 U.S.C. §18041</w:t>
      </w:r>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“Federally Facilitated Marketplace referral”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“FFM referral” </w:t>
      </w:r>
      <w:r>
        <w:rPr>
          <w:rFonts w:ascii="Times New Roman" w:hAnsi="Times New Roman"/>
          <w:b w:val="false"/>
          <w:i w:val="false"/>
          <w:color w:val="000000"/>
          <w:sz w:val="22"/>
        </w:rPr>
        <w:t xml:space="preserve">means an application submitted at </w:t>
      </w:r>
      <w:hyperlink r:id="rId7">
        <w:r>
          <w:rPr>
            <w:rStyle w:val="Hyperlink"/>
            <w:rFonts w:ascii="Times New Roman" w:hAnsi="Times New Roman"/>
            <w:b w:val="false"/>
            <w:i w:val="false"/>
            <w:color w:val="000000"/>
            <w:sz w:val="22"/>
            <w:u w:val="single"/>
          </w:rPr>
          <w:t>healthcare.gov</w:t>
        </w:r>
      </w:hyperlink>
      <w:r>
        <w:rPr>
          <w:rFonts w:ascii="Times New Roman" w:hAnsi="Times New Roman"/>
          <w:b w:val="false"/>
          <w:i w:val="false"/>
          <w:color w:val="000000"/>
          <w:sz w:val="22"/>
        </w:rPr>
        <w:t xml:space="preserve"> that requests help paying for health insurance. These applications are screened by the FFM and, if found to be potentially eligible for Iowa Medicaid or hawki, are transmitted via an electronic data file to the department for a final Medicaid/hawki determination.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“Health insurance marketplace” </w:t>
      </w:r>
      <w:r>
        <w:rPr>
          <w:rFonts w:ascii="Times New Roman" w:hAnsi="Times New Roman"/>
          <w:b w:val="false"/>
          <w:i w:val="false"/>
          <w:color w:val="000000"/>
          <w:sz w:val="22"/>
        </w:rPr>
        <w:t xml:space="preserve">means a health insurance marketplace established </w:t>
      </w:r>
      <w:r>
        <w:rPr>
          <w:rFonts w:ascii="Times New Roman" w:hAnsi="Times New Roman"/>
          <w:b w:val="false"/>
          <w:i w:val="false"/>
          <w:color w:val="000000"/>
          <w:sz w:val="22"/>
        </w:rPr>
        <w:t>pursuant to 42 U.S.C. §18031</w:t>
      </w:r>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“Medicare savings program” </w:t>
      </w:r>
      <w:r>
        <w:rPr>
          <w:rFonts w:ascii="Times New Roman" w:hAnsi="Times New Roman"/>
          <w:b w:val="false"/>
          <w:i w:val="false"/>
          <w:color w:val="000000"/>
          <w:sz w:val="22"/>
        </w:rPr>
        <w:t xml:space="preserve">refers to the limited Medicaid coverage groups that provide payment of Medicare premiums, coinsurance, and deductibles for low-income elderly or disabled individuals. Those groups are: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Qualified disabled and working people (QDWP) </w:t>
      </w:r>
      <w:r>
        <w:rPr>
          <w:rFonts w:ascii="Times New Roman" w:hAnsi="Times New Roman"/>
          <w:b w:val="false"/>
          <w:i w:val="false"/>
          <w:color w:val="000000"/>
          <w:sz w:val="22"/>
        </w:rPr>
        <w:t>pursuant to 42 U.S.C. §1396a</w:t>
      </w:r>
      <w:r>
        <w:rPr>
          <w:rFonts w:ascii="Times New Roman" w:hAnsi="Times New Roman"/>
          <w:b w:val="false"/>
          <w:i w:val="false"/>
          <w:color w:val="000000"/>
          <w:sz w:val="22"/>
        </w:rPr>
        <w:t xml:space="preserve">(a)(10)(E)(ii); </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Qualified Medicare beneficiaries (QMB) </w:t>
      </w:r>
      <w:r>
        <w:rPr>
          <w:rFonts w:ascii="Times New Roman" w:hAnsi="Times New Roman"/>
          <w:b w:val="false"/>
          <w:i w:val="false"/>
          <w:color w:val="000000"/>
          <w:sz w:val="22"/>
        </w:rPr>
        <w:t>pursuant to 42 U.S.C. §1396a</w:t>
      </w:r>
      <w:r>
        <w:rPr>
          <w:rFonts w:ascii="Times New Roman" w:hAnsi="Times New Roman"/>
          <w:b w:val="false"/>
          <w:i w:val="false"/>
          <w:color w:val="000000"/>
          <w:sz w:val="22"/>
        </w:rPr>
        <w:t xml:space="preserve">(a)(10)(E)(i); </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Specified low-income Medicare beneficiaries (SLMB) </w:t>
      </w:r>
      <w:r>
        <w:rPr>
          <w:rFonts w:ascii="Times New Roman" w:hAnsi="Times New Roman"/>
          <w:b w:val="false"/>
          <w:i w:val="false"/>
          <w:color w:val="000000"/>
          <w:sz w:val="22"/>
        </w:rPr>
        <w:t>pursuant to 42 U.S.C. §1396a</w:t>
      </w:r>
      <w:r>
        <w:rPr>
          <w:rFonts w:ascii="Times New Roman" w:hAnsi="Times New Roman"/>
          <w:b w:val="false"/>
          <w:i w:val="false"/>
          <w:color w:val="000000"/>
          <w:sz w:val="22"/>
        </w:rPr>
        <w:t xml:space="preserve">(a)(10)(E)(iii); and </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Expanded specified low-income Medicare beneficiaries (ESLMB) </w:t>
      </w:r>
      <w:r>
        <w:rPr>
          <w:rFonts w:ascii="Times New Roman" w:hAnsi="Times New Roman"/>
          <w:b w:val="false"/>
          <w:i w:val="false"/>
          <w:color w:val="000000"/>
          <w:sz w:val="22"/>
        </w:rPr>
        <w:t>pursuant to 42 U.S.C. §1396a</w:t>
      </w:r>
      <w:r>
        <w:rPr>
          <w:rFonts w:ascii="Times New Roman" w:hAnsi="Times New Roman"/>
          <w:b w:val="false"/>
          <w:i w:val="false"/>
          <w:color w:val="000000"/>
          <w:sz w:val="22"/>
        </w:rPr>
        <w:t xml:space="preserve">(a)(10)(E)(iv).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“Presumptive provider” </w:t>
      </w:r>
      <w:r>
        <w:rPr>
          <w:rFonts w:ascii="Times New Roman" w:hAnsi="Times New Roman"/>
          <w:b w:val="false"/>
          <w:i w:val="false"/>
          <w:color w:val="000000"/>
          <w:sz w:val="22"/>
        </w:rPr>
        <w:t xml:space="preserve">means an organization approved by the department to conduct and authorize presumptive eligibility determinations as described in subrule </w:t>
      </w:r>
      <w:hyperlink r:id="rId8">
        <w:r>
          <w:rPr>
            <w:rStyle w:val="Hyperlink"/>
            <w:rFonts w:ascii="Times New Roman" w:hAnsi="Times New Roman"/>
            <w:b w:val="false"/>
            <w:i w:val="false"/>
            <w:color w:val="000000"/>
            <w:sz w:val="22"/>
          </w:rPr>
          <w:t>76.7(1)</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“Qualified entity” </w:t>
      </w:r>
      <w:r>
        <w:rPr>
          <w:rFonts w:ascii="Times New Roman" w:hAnsi="Times New Roman"/>
          <w:b w:val="false"/>
          <w:i w:val="false"/>
          <w:color w:val="000000"/>
          <w:sz w:val="22"/>
        </w:rPr>
        <w:t xml:space="preserve">means an individual, under the supervision and authority of a presumptive provider, approved by the department to conduct and authorize presumptive eligibility determinations.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“Responsible person” </w:t>
      </w:r>
      <w:r>
        <w:rPr>
          <w:rFonts w:ascii="Times New Roman" w:hAnsi="Times New Roman"/>
          <w:b w:val="false"/>
          <w:i w:val="false"/>
          <w:color w:val="000000"/>
          <w:sz w:val="22"/>
        </w:rPr>
        <w:t xml:space="preserve">means an individual recognized by the department pursuant to subrule </w:t>
      </w:r>
      <w:hyperlink r:id="rId9">
        <w:r>
          <w:rPr>
            <w:rStyle w:val="Hyperlink"/>
            <w:rFonts w:ascii="Times New Roman" w:hAnsi="Times New Roman"/>
            <w:b w:val="false"/>
            <w:i w:val="false"/>
            <w:color w:val="000000"/>
            <w:sz w:val="22"/>
          </w:rPr>
          <w:t>76.9(1)</w:t>
        </w:r>
      </w:hyperlink>
      <w:r>
        <w:rPr>
          <w:rFonts w:ascii="Times New Roman" w:hAnsi="Times New Roman"/>
          <w:b w:val="false"/>
          <w:i w:val="false"/>
          <w:color w:val="000000"/>
          <w:sz w:val="22"/>
        </w:rPr>
        <w:t xml:space="preserve"> as acting for an applicant or member who is unable to act on the applicant’s or member’s own behalf because the applicant or member is a minor or is incompetent, incapacitated, or deceased.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“SSA” </w:t>
      </w:r>
      <w:r>
        <w:rPr>
          <w:rFonts w:ascii="Times New Roman" w:hAnsi="Times New Roman"/>
          <w:b w:val="false"/>
          <w:i w:val="false"/>
          <w:color w:val="000000"/>
          <w:sz w:val="22"/>
        </w:rPr>
        <w:t xml:space="preserve">means the federal Social Security Administration.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“Supplemental Security Income”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“SSI” </w:t>
      </w:r>
      <w:r>
        <w:rPr>
          <w:rFonts w:ascii="Times New Roman" w:hAnsi="Times New Roman"/>
          <w:b w:val="false"/>
          <w:i w:val="false"/>
          <w:color w:val="000000"/>
          <w:sz w:val="22"/>
        </w:rPr>
        <w:t xml:space="preserve">is a federally administered program established by </w:t>
      </w:r>
      <w:r>
        <w:rPr>
          <w:rFonts w:ascii="Times New Roman" w:hAnsi="Times New Roman"/>
          <w:b w:val="false"/>
          <w:i w:val="false"/>
          <w:color w:val="000000"/>
          <w:sz w:val="22"/>
        </w:rPr>
        <w:t>Title XVI of the Social Security Act</w:t>
      </w:r>
      <w:r>
        <w:rPr>
          <w:rFonts w:ascii="Times New Roman" w:hAnsi="Times New Roman"/>
          <w:b w:val="false"/>
          <w:i w:val="false"/>
          <w:color w:val="000000"/>
          <w:sz w:val="22"/>
        </w:rPr>
        <w:t xml:space="preserve"> to provide supplemental income to individuals who have attained the age of 65 or are blind or disabled.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“United States Code”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“U.S.C.” </w:t>
      </w:r>
      <w:r>
        <w:rPr>
          <w:rFonts w:ascii="Times New Roman" w:hAnsi="Times New Roman"/>
          <w:b w:val="false"/>
          <w:i w:val="false"/>
          <w:color w:val="000000"/>
          <w:sz w:val="22"/>
        </w:rPr>
        <w:t xml:space="preserve">means the general and permanent laws of the United States. All references to U.S.C. herein are as amended to August 1, 2025, unless another effective date is specified.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“WIC” </w:t>
      </w:r>
      <w:r>
        <w:rPr>
          <w:rFonts w:ascii="Times New Roman" w:hAnsi="Times New Roman"/>
          <w:b w:val="false"/>
          <w:i w:val="false"/>
          <w:color w:val="000000"/>
          <w:sz w:val="22"/>
        </w:rPr>
        <w:t xml:space="preserve">is the Special Supplemental Nutrition Program for Women, Infants, and Children established </w:t>
      </w:r>
      <w:r>
        <w:rPr>
          <w:rFonts w:ascii="Times New Roman" w:hAnsi="Times New Roman"/>
          <w:b w:val="false"/>
          <w:i w:val="false"/>
          <w:color w:val="000000"/>
          <w:sz w:val="22"/>
        </w:rPr>
        <w:t>pursuant to 42 U.S.C. §1786</w:t>
      </w:r>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9702C</w:t>
      </w:r>
      <w:r>
        <w:rPr>
          <w:rFonts w:ascii="Times New Roman" w:hAnsi="Times New Roman"/>
          <w:b w:val="false"/>
          <w:i w:val="false"/>
          <w:color w:val="000000"/>
          <w:sz w:val="16"/>
        </w:rPr>
        <w:t>, IAB 11/12/25,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441—76.2</w:t>
      </w:r>
      <w:r>
        <w:rPr>
          <w:rFonts w:ascii="Times New Roman" w:hAnsi="Times New Roman"/>
          <w:b/>
          <w:i w:val="false"/>
          <w:color w:val="000000"/>
          <w:sz w:val="22"/>
        </w:rPr>
        <w:t xml:space="preserve">(249A) </w:t>
      </w:r>
      <w:r>
        <w:rPr>
          <w:rFonts w:ascii="Times New Roman" w:hAnsi="Times New Roman"/>
          <w:b/>
          <w:i w:val="false"/>
          <w:color w:val="000000"/>
          <w:sz w:val="22"/>
        </w:rPr>
        <w:t xml:space="preserve">Application for medical assistance. </w:t>
      </w:r>
      <w:r>
        <w:rPr>
          <w:rFonts w:ascii="Times New Roman" w:hAnsi="Times New Roman"/>
          <w:b w:val="false"/>
          <w:i w:val="false"/>
          <w:color w:val="000000"/>
          <w:sz w:val="22"/>
        </w:rPr>
        <w:t>This rule describes the process of applying for medical assistance from the department. Applications for Medicaid must be made as provided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76.2(1)</w:t>
      </w:r>
      <w:r>
        <w:rPr>
          <w:rFonts w:ascii="Times New Roman" w:hAnsi="Times New Roman"/>
          <w:b w:val="false"/>
          <w:i w:val="false"/>
          <w:color w:val="000000"/>
          <w:sz w:val="22"/>
        </w:rPr>
        <w:t> </w:t>
      </w:r>
      <w:r>
        <w:rPr>
          <w:rFonts w:ascii="Times New Roman" w:hAnsi="Times New Roman"/>
          <w:b w:val="false"/>
          <w:i/>
          <w:color w:val="000000"/>
          <w:sz w:val="22"/>
        </w:rPr>
        <w:t xml:space="preserve">Application with the department or qualified entity.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Who can file. </w:t>
      </w:r>
      <w:r>
        <w:rPr>
          <w:rFonts w:ascii="Times New Roman" w:hAnsi="Times New Roman"/>
          <w:b w:val="false"/>
          <w:i w:val="false"/>
          <w:color w:val="000000"/>
          <w:sz w:val="22"/>
        </w:rPr>
        <w:t>An application may be filed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An adult in the applicant’s household, as described in </w:t>
      </w:r>
      <w:r>
        <w:rPr>
          <w:rFonts w:ascii="Times New Roman" w:hAnsi="Times New Roman"/>
          <w:b w:val="false"/>
          <w:i w:val="false"/>
          <w:color w:val="000000"/>
          <w:sz w:val="22"/>
        </w:rPr>
        <w:t>42 CFR §435.603(f)</w:t>
      </w:r>
      <w:r>
        <w:rPr>
          <w:rFonts w:ascii="Times New Roman" w:hAnsi="Times New Roman"/>
          <w:b w:val="false"/>
          <w:i w:val="false"/>
          <w:color w:val="000000"/>
          <w:sz w:val="22"/>
        </w:rPr>
        <w:t xml:space="preserve">, or family, as described in </w:t>
      </w:r>
      <w:r>
        <w:rPr>
          <w:rFonts w:ascii="Times New Roman" w:hAnsi="Times New Roman"/>
          <w:b w:val="false"/>
          <w:i w:val="false"/>
          <w:color w:val="000000"/>
          <w:sz w:val="22"/>
        </w:rPr>
        <w:t>26 CFR §1.36</w:t>
      </w:r>
      <w:r>
        <w:rPr>
          <w:rFonts w:ascii="Times New Roman" w:hAnsi="Times New Roman"/>
          <w:b w:val="false"/>
          <w:i w:val="false"/>
          <w:color w:val="000000"/>
          <w:sz w:val="22"/>
        </w:rPr>
        <w:t>B-1(d),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spouse as defined in rule </w:t>
      </w:r>
      <w:hyperlink r:id="rId10">
        <w:r>
          <w:rPr>
            <w:rStyle w:val="Hyperlink"/>
            <w:rFonts w:ascii="Times New Roman" w:hAnsi="Times New Roman"/>
            <w:b w:val="false"/>
            <w:i w:val="false"/>
            <w:color w:val="000000"/>
            <w:sz w:val="22"/>
          </w:rPr>
          <w:t>441—75.1</w:t>
        </w:r>
      </w:hyperlink>
      <w:r>
        <w:rPr>
          <w:rFonts w:ascii="Times New Roman" w:hAnsi="Times New Roman"/>
          <w:b w:val="false"/>
          <w:i w:val="false"/>
          <w:color w:val="000000"/>
          <w:sz w:val="22"/>
        </w:rPr>
        <w:t xml:space="preserve">(249A);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parent of an applicant child, as defined in rule </w:t>
      </w:r>
      <w:hyperlink r:id="rId11">
        <w:r>
          <w:rPr>
            <w:rStyle w:val="Hyperlink"/>
            <w:rFonts w:ascii="Times New Roman" w:hAnsi="Times New Roman"/>
            <w:b w:val="false"/>
            <w:i w:val="false"/>
            <w:color w:val="000000"/>
            <w:sz w:val="22"/>
          </w:rPr>
          <w:t>441—75.1</w:t>
        </w:r>
      </w:hyperlink>
      <w:r>
        <w:rPr>
          <w:rFonts w:ascii="Times New Roman" w:hAnsi="Times New Roman"/>
          <w:b w:val="false"/>
          <w:i w:val="false"/>
          <w:color w:val="000000"/>
          <w:sz w:val="22"/>
        </w:rPr>
        <w:t xml:space="preserve">(249A), including either parent of an unborn child;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 caretaker of an applicant child, when the caretaker meets the requirements of rules </w:t>
      </w:r>
      <w:hyperlink r:id="rId12">
        <w:r>
          <w:rPr>
            <w:rStyle w:val="Hyperlink"/>
            <w:rFonts w:ascii="Times New Roman" w:hAnsi="Times New Roman"/>
            <w:b w:val="false"/>
            <w:i w:val="false"/>
            <w:color w:val="000000"/>
            <w:sz w:val="22"/>
          </w:rPr>
          <w:t>441—75.1</w:t>
        </w:r>
      </w:hyperlink>
      <w:r>
        <w:rPr>
          <w:rFonts w:ascii="Times New Roman" w:hAnsi="Times New Roman"/>
          <w:b w:val="false"/>
          <w:i w:val="false"/>
          <w:color w:val="000000"/>
          <w:sz w:val="22"/>
        </w:rPr>
        <w:t xml:space="preserve">(249A) and </w:t>
      </w:r>
      <w:hyperlink r:id="rId13">
        <w:r>
          <w:rPr>
            <w:rStyle w:val="Hyperlink"/>
            <w:rFonts w:ascii="Times New Roman" w:hAnsi="Times New Roman"/>
            <w:b w:val="false"/>
            <w:i w:val="false"/>
            <w:color w:val="000000"/>
            <w:sz w:val="22"/>
          </w:rPr>
          <w:t>441—75.51</w:t>
        </w:r>
      </w:hyperlink>
      <w:r>
        <w:rPr>
          <w:rFonts w:ascii="Times New Roman" w:hAnsi="Times New Roman"/>
          <w:b w:val="false"/>
          <w:i w:val="false"/>
          <w:color w:val="000000"/>
          <w:sz w:val="22"/>
        </w:rPr>
        <w:t>(249A);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tax-filer who claims the applicant as a dependent;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An authorized representative described in subrule </w:t>
      </w:r>
      <w:hyperlink r:id="rId14">
        <w:r>
          <w:rPr>
            <w:rStyle w:val="Hyperlink"/>
            <w:rFonts w:ascii="Times New Roman" w:hAnsi="Times New Roman"/>
            <w:b w:val="false"/>
            <w:i w:val="false"/>
            <w:color w:val="000000"/>
            <w:sz w:val="22"/>
          </w:rPr>
          <w:t>76.9(2)</w:t>
        </w:r>
      </w:hyperlink>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 responsible person described in subrule </w:t>
      </w:r>
      <w:hyperlink r:id="rId15">
        <w:r>
          <w:rPr>
            <w:rStyle w:val="Hyperlink"/>
            <w:rFonts w:ascii="Times New Roman" w:hAnsi="Times New Roman"/>
            <w:b w:val="false"/>
            <w:i w:val="false"/>
            <w:color w:val="000000"/>
            <w:sz w:val="22"/>
          </w:rPr>
          <w:t>76.9(1)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How and where to file.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application may be filed online on the department’s website or </w:t>
      </w:r>
      <w:hyperlink r:id="rId16">
        <w:r>
          <w:rPr>
            <w:rStyle w:val="Hyperlink"/>
            <w:rFonts w:ascii="Times New Roman" w:hAnsi="Times New Roman"/>
            <w:b w:val="false"/>
            <w:i w:val="false"/>
            <w:color w:val="000000"/>
            <w:sz w:val="22"/>
            <w:u w:val="single"/>
          </w:rPr>
          <w:t>www.healthcare.gov</w:t>
        </w:r>
      </w:hyperlink>
      <w:r>
        <w:rPr>
          <w:rFonts w:ascii="Times New Roman" w:hAnsi="Times New Roman"/>
          <w:b w:val="false"/>
          <w:i w:val="false"/>
          <w:color w:val="000000"/>
          <w:sz w:val="22"/>
        </w:rPr>
        <w:t xml:space="preserve">; at any local HHS office; or at any HHS outstation at a disproportionate share hospital, federally qualified health center in Iowa, or other facility in Iowa where outstationing activities are provided. Applications may be submitted in person, by mail, by telephone at 1.855.889.7985, or by email or fax to a local HHS office. Addresses, email addresses, and fax numbers of local HHS offices are available on the department’s website.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application may also be filed at the office of a qualified entity pursuant to subrule </w:t>
      </w:r>
      <w:hyperlink r:id="rId17">
        <w:r>
          <w:rPr>
            <w:rStyle w:val="Hyperlink"/>
            <w:rFonts w:ascii="Times New Roman" w:hAnsi="Times New Roman"/>
            <w:b w:val="false"/>
            <w:i w:val="false"/>
            <w:color w:val="000000"/>
            <w:sz w:val="22"/>
          </w:rPr>
          <w:t>76.7(2)</w:t>
        </w:r>
      </w:hyperlink>
      <w:r>
        <w:rPr>
          <w:rFonts w:ascii="Times New Roman" w:hAnsi="Times New Roman"/>
          <w:b w:val="false"/>
          <w:i w:val="false"/>
          <w:color w:val="000000"/>
          <w:sz w:val="22"/>
        </w:rPr>
        <w:t>, a WIC office, a maternal health clinic, or a well-child clinic.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Form. </w:t>
      </w:r>
      <w:r>
        <w:rPr>
          <w:rFonts w:ascii="Times New Roman" w:hAnsi="Times New Roman"/>
          <w:b w:val="false"/>
          <w:i w:val="false"/>
          <w:color w:val="000000"/>
          <w:sz w:val="22"/>
        </w:rPr>
        <w:t>Applications for Medicaid, including Medicaid applications for foster care and subsidized adoption, may be submitted on forms prescribed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Minimum application requirements. </w:t>
      </w:r>
      <w:r>
        <w:rPr>
          <w:rFonts w:ascii="Times New Roman" w:hAnsi="Times New Roman"/>
          <w:b w:val="false"/>
          <w:i w:val="false"/>
          <w:color w:val="000000"/>
          <w:sz w:val="22"/>
        </w:rPr>
        <w:t xml:space="preserve">Initial applications must contain a legible name and address and must be signed under penalty of perjury, pursuant to </w:t>
      </w:r>
      <w:r>
        <w:rPr>
          <w:rFonts w:ascii="Times New Roman" w:hAnsi="Times New Roman"/>
          <w:b w:val="false"/>
          <w:i w:val="false"/>
          <w:color w:val="000000"/>
          <w:sz w:val="22"/>
        </w:rPr>
        <w:t>42 CFR §435.907(f)</w:t>
      </w:r>
      <w:r>
        <w:rPr>
          <w:rFonts w:ascii="Times New Roman" w:hAnsi="Times New Roman"/>
          <w:b w:val="false"/>
          <w:i w:val="false"/>
          <w:color w:val="000000"/>
          <w:sz w:val="22"/>
        </w:rPr>
        <w:t xml:space="preserve">. At least one person listed in paragraph </w:t>
      </w:r>
      <w:hyperlink r:id="rId18">
        <w:r>
          <w:rPr>
            <w:rStyle w:val="Hyperlink"/>
            <w:rFonts w:ascii="Times New Roman" w:hAnsi="Times New Roman"/>
            <w:b w:val="false"/>
            <w:i w:val="false"/>
            <w:color w:val="000000"/>
            <w:sz w:val="22"/>
          </w:rPr>
          <w:t>76.2(1)</w:t>
        </w:r>
        <w:r>
          <w:rPr>
            <w:rFonts w:ascii="Times New Roman" w:hAnsi="Times New Roman"/>
            <w:b w:val="false"/>
            <w:i/>
            <w:color w:val="000000"/>
            <w:sz w:val="22"/>
          </w:rPr>
          <w:t>“a”</w:t>
        </w:r>
      </w:hyperlink>
      <w:r>
        <w:rPr>
          <w:rFonts w:ascii="Times New Roman" w:hAnsi="Times New Roman"/>
          <w:b w:val="false"/>
          <w:i w:val="false"/>
          <w:color w:val="000000"/>
          <w:sz w:val="22"/>
        </w:rPr>
        <w:t xml:space="preserve"> must sign the application. Electronic (including telephonically recorded) signatures and handwritten signatures (transmitted via any electronic means) are acceptable. An application that does not include a legible name, address, and signature under penalty of perjury will not be considered a valid application and will be rejected without a determination of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76.2(2)</w:t>
      </w:r>
      <w:r>
        <w:rPr>
          <w:rFonts w:ascii="Times New Roman" w:hAnsi="Times New Roman"/>
          <w:b w:val="false"/>
          <w:i w:val="false"/>
          <w:color w:val="000000"/>
          <w:sz w:val="22"/>
        </w:rPr>
        <w:t> </w:t>
      </w:r>
      <w:r>
        <w:rPr>
          <w:rFonts w:ascii="Times New Roman" w:hAnsi="Times New Roman"/>
          <w:b w:val="false"/>
          <w:i/>
          <w:color w:val="000000"/>
          <w:sz w:val="22"/>
        </w:rPr>
        <w:t xml:space="preserve">Date of filing.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application is considered filed on the date a valid application is received in any place of filing specified in paragraph </w:t>
      </w:r>
      <w:hyperlink r:id="rId19">
        <w:r>
          <w:rPr>
            <w:rStyle w:val="Hyperlink"/>
            <w:rFonts w:ascii="Times New Roman" w:hAnsi="Times New Roman"/>
            <w:b w:val="false"/>
            <w:i w:val="false"/>
            <w:color w:val="000000"/>
            <w:sz w:val="22"/>
          </w:rPr>
          <w:t>76.2(1)</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date of filing and effective date for applications received by a qualified entity for purposes of a presumptive Medicaid eligibility determination are further described in subrule </w:t>
      </w:r>
      <w:hyperlink r:id="rId20">
        <w:r>
          <w:rPr>
            <w:rStyle w:val="Hyperlink"/>
            <w:rFonts w:ascii="Times New Roman" w:hAnsi="Times New Roman"/>
            <w:b w:val="false"/>
            <w:i w:val="false"/>
            <w:color w:val="000000"/>
            <w:sz w:val="22"/>
          </w:rPr>
          <w:t>76.7(5)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will honor the application date of any application filed at the FFM that is subsequently transmitted to the department for an eligibility determination as described in rule </w:t>
      </w:r>
      <w:hyperlink r:id="rId21">
        <w:r>
          <w:rPr>
            <w:rStyle w:val="Hyperlink"/>
            <w:rFonts w:ascii="Times New Roman" w:hAnsi="Times New Roman"/>
            <w:b w:val="false"/>
            <w:i w:val="false"/>
            <w:color w:val="000000"/>
            <w:sz w:val="22"/>
          </w:rPr>
          <w:t>441—76.3</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76.2(3)</w:t>
      </w:r>
      <w:r>
        <w:rPr>
          <w:rFonts w:ascii="Times New Roman" w:hAnsi="Times New Roman"/>
          <w:b w:val="false"/>
          <w:i w:val="false"/>
          <w:color w:val="000000"/>
          <w:sz w:val="22"/>
        </w:rPr>
        <w:t> </w:t>
      </w:r>
      <w:r>
        <w:rPr>
          <w:rFonts w:ascii="Times New Roman" w:hAnsi="Times New Roman"/>
          <w:b w:val="false"/>
          <w:i/>
          <w:color w:val="000000"/>
          <w:sz w:val="22"/>
        </w:rPr>
        <w:t xml:space="preserve">Decision. </w:t>
      </w:r>
      <w:r>
        <w:rPr>
          <w:rFonts w:ascii="Times New Roman" w:hAnsi="Times New Roman"/>
          <w:b w:val="false"/>
          <w:i w:val="false"/>
          <w:color w:val="000000"/>
          <w:sz w:val="22"/>
        </w:rPr>
        <w:t xml:space="preserve">The department will notify the applicant of the eligibility decision pursuant to </w:t>
      </w:r>
      <w:hyperlink r:id="rId22">
        <w:r>
          <w:rPr>
            <w:rStyle w:val="Hyperlink"/>
            <w:rFonts w:ascii="Times New Roman" w:hAnsi="Times New Roman"/>
            <w:b w:val="false"/>
            <w:i w:val="false"/>
            <w:color w:val="000000"/>
            <w:sz w:val="22"/>
          </w:rPr>
          <w:t>441—Chapter 16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9702C</w:t>
      </w:r>
      <w:r>
        <w:rPr>
          <w:rFonts w:ascii="Times New Roman" w:hAnsi="Times New Roman"/>
          <w:b w:val="false"/>
          <w:i w:val="false"/>
          <w:color w:val="000000"/>
          <w:sz w:val="16"/>
        </w:rPr>
        <w:t>, IAB 11/12/25,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441—76.3</w:t>
      </w:r>
      <w:r>
        <w:rPr>
          <w:rFonts w:ascii="Times New Roman" w:hAnsi="Times New Roman"/>
          <w:b/>
          <w:i w:val="false"/>
          <w:color w:val="000000"/>
          <w:sz w:val="22"/>
        </w:rPr>
        <w:t xml:space="preserve">(249A) </w:t>
      </w:r>
      <w:r>
        <w:rPr>
          <w:rFonts w:ascii="Times New Roman" w:hAnsi="Times New Roman"/>
          <w:b/>
          <w:i w:val="false"/>
          <w:color w:val="000000"/>
          <w:sz w:val="22"/>
        </w:rPr>
        <w:t xml:space="preserve">Referrals from the FFM. </w:t>
      </w:r>
      <w:r>
        <w:rPr>
          <w:rFonts w:ascii="Times New Roman" w:hAnsi="Times New Roman"/>
          <w:b w:val="false"/>
          <w:i w:val="false"/>
          <w:color w:val="000000"/>
          <w:sz w:val="22"/>
        </w:rPr>
        <w:t xml:space="preserve">Upon receipt of an FFM referral indicating that an application has been screened and that the applicant has been found to be potentially eligible for Medicaid or hawki, the department will treat the application as if it had been received directly by the department pursuant to rule </w:t>
      </w:r>
      <w:hyperlink r:id="rId23">
        <w:r>
          <w:rPr>
            <w:rStyle w:val="Hyperlink"/>
            <w:rFonts w:ascii="Times New Roman" w:hAnsi="Times New Roman"/>
            <w:b w:val="false"/>
            <w:i w:val="false"/>
            <w:color w:val="000000"/>
            <w:sz w:val="22"/>
          </w:rPr>
          <w:t>441—76.2</w:t>
        </w:r>
      </w:hyperlink>
      <w:r>
        <w:rPr>
          <w:rFonts w:ascii="Times New Roman" w:hAnsi="Times New Roman"/>
          <w:b w:val="false"/>
          <w:i w:val="false"/>
          <w:color w:val="000000"/>
          <w:sz w:val="22"/>
        </w:rPr>
        <w:t xml:space="preserve">(249A).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9702C</w:t>
      </w:r>
      <w:r>
        <w:rPr>
          <w:rFonts w:ascii="Times New Roman" w:hAnsi="Times New Roman"/>
          <w:b w:val="false"/>
          <w:i w:val="false"/>
          <w:color w:val="000000"/>
          <w:sz w:val="16"/>
        </w:rPr>
        <w:t>, IAB 11/12/25,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441—76.4</w:t>
      </w:r>
      <w:r>
        <w:rPr>
          <w:rFonts w:ascii="Times New Roman" w:hAnsi="Times New Roman"/>
          <w:b/>
          <w:i w:val="false"/>
          <w:color w:val="000000"/>
          <w:sz w:val="22"/>
        </w:rPr>
        <w:t xml:space="preserve">(249A) </w:t>
      </w:r>
      <w:r>
        <w:rPr>
          <w:rFonts w:ascii="Times New Roman" w:hAnsi="Times New Roman"/>
          <w:b/>
          <w:i w:val="false"/>
          <w:color w:val="000000"/>
          <w:sz w:val="22"/>
        </w:rPr>
        <w:t xml:space="preserve">Express lane eligibility. </w:t>
      </w:r>
      <w:r>
        <w:rPr>
          <w:rFonts w:ascii="Times New Roman" w:hAnsi="Times New Roman"/>
          <w:b w:val="false"/>
          <w:i w:val="false"/>
          <w:color w:val="000000"/>
          <w:sz w:val="22"/>
        </w:rPr>
        <w:t xml:space="preserve">For purposes of the initial enrollment of a child in medical assistance, the department will use express lane procedures as allowed by </w:t>
      </w:r>
      <w:r>
        <w:rPr>
          <w:rFonts w:ascii="Times New Roman" w:hAnsi="Times New Roman"/>
          <w:b w:val="false"/>
          <w:i w:val="false"/>
          <w:color w:val="000000"/>
          <w:sz w:val="22"/>
        </w:rPr>
        <w:t>42 U.S.C.</w:t>
      </w:r>
      <w:r>
        <w:rPr>
          <w:rFonts w:ascii="Times New Roman" w:hAnsi="Times New Roman"/>
          <w:b w:val="false"/>
          <w:i w:val="false"/>
          <w:color w:val="000000"/>
          <w:sz w:val="22"/>
        </w:rPr>
        <w:t>§1396a(e)(13) and as described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76.4(1)</w:t>
      </w:r>
      <w:r>
        <w:rPr>
          <w:rFonts w:ascii="Times New Roman" w:hAnsi="Times New Roman"/>
          <w:b w:val="false"/>
          <w:i w:val="false"/>
          <w:color w:val="000000"/>
          <w:sz w:val="22"/>
        </w:rPr>
        <w:t> </w:t>
      </w:r>
      <w:r>
        <w:rPr>
          <w:rFonts w:ascii="Times New Roman" w:hAnsi="Times New Roman"/>
          <w:b w:val="false"/>
          <w:i w:val="false"/>
          <w:color w:val="000000"/>
          <w:sz w:val="22"/>
        </w:rPr>
        <w:t xml:space="preserve">For purposes of initial enrollment, the department will rely on a determination of the child’s eligibility for the Supplemental Nutrition Assistance Program (SNAP) pursuant to </w:t>
      </w:r>
      <w:hyperlink r:id="rId24">
        <w:r>
          <w:rPr>
            <w:rStyle w:val="Hyperlink"/>
            <w:rFonts w:ascii="Times New Roman" w:hAnsi="Times New Roman"/>
            <w:b w:val="false"/>
            <w:i w:val="false"/>
            <w:color w:val="000000"/>
            <w:sz w:val="22"/>
          </w:rPr>
          <w:t>441—Chapter 65</w:t>
        </w:r>
      </w:hyperlink>
      <w:r>
        <w:rPr>
          <w:rFonts w:ascii="Times New Roman" w:hAnsi="Times New Roman"/>
          <w:b w:val="false"/>
          <w:i w:val="false"/>
          <w:color w:val="000000"/>
          <w:sz w:val="22"/>
        </w:rPr>
        <w:t xml:space="preserve"> as establishing that a child under the age of 19 meets all eligibility requirements established in </w:t>
      </w:r>
      <w:hyperlink r:id="rId25">
        <w:r>
          <w:rPr>
            <w:rStyle w:val="Hyperlink"/>
            <w:rFonts w:ascii="Times New Roman" w:hAnsi="Times New Roman"/>
            <w:b w:val="false"/>
            <w:i w:val="false"/>
            <w:color w:val="000000"/>
            <w:sz w:val="22"/>
          </w:rPr>
          <w:t>441—subrule 75.3(2)</w:t>
        </w:r>
      </w:hyperlink>
      <w:r>
        <w:rPr>
          <w:rFonts w:ascii="Times New Roman" w:hAnsi="Times New Roman"/>
          <w:b w:val="false"/>
          <w:i w:val="false"/>
          <w:color w:val="000000"/>
          <w:sz w:val="22"/>
        </w:rPr>
        <w:t xml:space="preserve"> except for citizenship or alienage requirements unless: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child’s household already includes other persons receiving Medicaid based on the use of the modified adjusted gross income (MAGI) methodology,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child was previously granted express lane eligibility and the household has not had at least a two-month break in SNAP eligibility since that time.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76.4(2)</w:t>
      </w:r>
      <w:r>
        <w:rPr>
          <w:rFonts w:ascii="Times New Roman" w:hAnsi="Times New Roman"/>
          <w:b w:val="false"/>
          <w:i w:val="false"/>
          <w:color w:val="000000"/>
          <w:sz w:val="22"/>
        </w:rPr>
        <w:t> </w:t>
      </w:r>
      <w:r>
        <w:rPr>
          <w:rFonts w:ascii="Times New Roman" w:hAnsi="Times New Roman"/>
          <w:b w:val="false"/>
          <w:i w:val="false"/>
          <w:color w:val="000000"/>
          <w:sz w:val="22"/>
        </w:rPr>
        <w:t xml:space="preserve">To obtain express lane enrollment for a child, the child’s household must request medical assistance for the child on forms prescribed by the department. The department will send forms to the household when a child eligible for express lane enrollment is approved for SNAP pursuant to </w:t>
      </w:r>
      <w:hyperlink r:id="rId26">
        <w:r>
          <w:rPr>
            <w:rStyle w:val="Hyperlink"/>
            <w:rFonts w:ascii="Times New Roman" w:hAnsi="Times New Roman"/>
            <w:b w:val="false"/>
            <w:i w:val="false"/>
            <w:color w:val="000000"/>
            <w:sz w:val="22"/>
          </w:rPr>
          <w:t>441—Chapter 65</w:t>
        </w:r>
      </w:hyperlink>
      <w:r>
        <w:rPr>
          <w:rFonts w:ascii="Times New Roman" w:hAnsi="Times New Roman"/>
          <w:b w:val="false"/>
          <w:i w:val="false"/>
          <w:color w:val="000000"/>
          <w:sz w:val="22"/>
        </w:rPr>
        <w:t>. An adult member of the child’s household or a child receiving SNAP benefits as head of household must sign the form and return it to the department within 30 calendar days of issuance.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76.4(3)</w:t>
      </w:r>
      <w:r>
        <w:rPr>
          <w:rFonts w:ascii="Times New Roman" w:hAnsi="Times New Roman"/>
          <w:b w:val="false"/>
          <w:i w:val="false"/>
          <w:color w:val="000000"/>
          <w:sz w:val="22"/>
        </w:rPr>
        <w:t> </w:t>
      </w:r>
      <w:r>
        <w:rPr>
          <w:rFonts w:ascii="Times New Roman" w:hAnsi="Times New Roman"/>
          <w:b w:val="false"/>
          <w:i w:val="false"/>
          <w:color w:val="000000"/>
          <w:sz w:val="22"/>
        </w:rPr>
        <w:t xml:space="preserve">As a condition of express lane enrollment, the child must meet the citizenship or alienage requirements of rule </w:t>
      </w:r>
      <w:hyperlink r:id="rId27">
        <w:r>
          <w:rPr>
            <w:rStyle w:val="Hyperlink"/>
            <w:rFonts w:ascii="Times New Roman" w:hAnsi="Times New Roman"/>
            <w:b w:val="false"/>
            <w:i w:val="false"/>
            <w:color w:val="000000"/>
            <w:sz w:val="22"/>
          </w:rPr>
          <w:t>441—75.11</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76.4(4)</w:t>
      </w:r>
      <w:r>
        <w:rPr>
          <w:rFonts w:ascii="Times New Roman" w:hAnsi="Times New Roman"/>
          <w:b w:val="false"/>
          <w:i w:val="false"/>
          <w:color w:val="000000"/>
          <w:sz w:val="22"/>
        </w:rPr>
        <w:t> </w:t>
      </w:r>
      <w:r>
        <w:rPr>
          <w:rFonts w:ascii="Times New Roman" w:hAnsi="Times New Roman"/>
          <w:b w:val="false"/>
          <w:i w:val="false"/>
          <w:color w:val="000000"/>
          <w:sz w:val="22"/>
        </w:rPr>
        <w:t>The month of application for express lane enrollment is the month of the child’s SNAP effective date. Express lane eligibility begins on the first day of the month of the child’s SNAP effective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76.4(5)</w:t>
      </w:r>
      <w:r>
        <w:rPr>
          <w:rFonts w:ascii="Times New Roman" w:hAnsi="Times New Roman"/>
          <w:b w:val="false"/>
          <w:i w:val="false"/>
          <w:color w:val="000000"/>
          <w:sz w:val="22"/>
        </w:rPr>
        <w:t> </w:t>
      </w:r>
      <w:r>
        <w:rPr>
          <w:rFonts w:ascii="Times New Roman" w:hAnsi="Times New Roman"/>
          <w:b w:val="false"/>
          <w:i w:val="false"/>
          <w:color w:val="000000"/>
          <w:sz w:val="22"/>
        </w:rPr>
        <w:t>After the initial express lane enrollment, all redeterminations of medical assistance eligibility will be made without reliance on any SNAP eligibility determination.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76.4(6)</w:t>
      </w:r>
      <w:r>
        <w:rPr>
          <w:rFonts w:ascii="Times New Roman" w:hAnsi="Times New Roman"/>
          <w:b w:val="false"/>
          <w:i w:val="false"/>
          <w:color w:val="000000"/>
          <w:sz w:val="22"/>
        </w:rPr>
        <w:t> </w:t>
      </w:r>
      <w:r>
        <w:rPr>
          <w:rFonts w:ascii="Times New Roman" w:hAnsi="Times New Roman"/>
          <w:b w:val="false"/>
          <w:i w:val="false"/>
          <w:color w:val="000000"/>
          <w:sz w:val="22"/>
        </w:rPr>
        <w:t xml:space="preserve">Retroactive enrollment is available pursuant to subrule </w:t>
      </w:r>
      <w:hyperlink r:id="rId28">
        <w:r>
          <w:rPr>
            <w:rStyle w:val="Hyperlink"/>
            <w:rFonts w:ascii="Times New Roman" w:hAnsi="Times New Roman"/>
            <w:b w:val="false"/>
            <w:i w:val="false"/>
            <w:color w:val="000000"/>
            <w:sz w:val="22"/>
          </w:rPr>
          <w:t>76.13(3)</w:t>
        </w:r>
      </w:hyperlink>
      <w:r>
        <w:rPr>
          <w:rFonts w:ascii="Times New Roman" w:hAnsi="Times New Roman"/>
          <w:b w:val="false"/>
          <w:i w:val="false"/>
          <w:color w:val="000000"/>
          <w:sz w:val="22"/>
        </w:rPr>
        <w:t xml:space="preserve"> for any of the three months before the month of the child’s SNAP effective date. The retroactive eligibility determination must be made without regard to SNAP eligibility.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9702C</w:t>
      </w:r>
      <w:r>
        <w:rPr>
          <w:rFonts w:ascii="Times New Roman" w:hAnsi="Times New Roman"/>
          <w:b w:val="false"/>
          <w:i w:val="false"/>
          <w:color w:val="000000"/>
          <w:sz w:val="16"/>
        </w:rPr>
        <w:t>, IAB 11/12/25,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441—76.5</w:t>
      </w:r>
      <w:r>
        <w:rPr>
          <w:rFonts w:ascii="Times New Roman" w:hAnsi="Times New Roman"/>
          <w:b/>
          <w:i w:val="false"/>
          <w:color w:val="000000"/>
          <w:sz w:val="22"/>
        </w:rPr>
        <w:t xml:space="preserve">(249A) </w:t>
      </w:r>
      <w:r>
        <w:rPr>
          <w:rFonts w:ascii="Times New Roman" w:hAnsi="Times New Roman"/>
          <w:b/>
          <w:i w:val="false"/>
          <w:color w:val="000000"/>
          <w:sz w:val="22"/>
        </w:rPr>
        <w:t xml:space="preserve">Enrollment through SSI. </w:t>
      </w:r>
      <w:r>
        <w:rPr>
          <w:rFonts w:ascii="Times New Roman" w:hAnsi="Times New Roman"/>
          <w:b w:val="false"/>
          <w:i w:val="false"/>
          <w:color w:val="000000"/>
          <w:sz w:val="22"/>
        </w:rPr>
        <w:t>Upon receipt of a referral from the SSA indicating that an individual has been approved for SSI, the department will treat the referral as an application for medical assistance and will process the application as if received directly by the department. The SSI recipient may be required to provide additional information when necessary to determine Medicaid eligibility. The SSI recipient may be required to attend an interview to clarify information.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9702C</w:t>
      </w:r>
      <w:r>
        <w:rPr>
          <w:rFonts w:ascii="Times New Roman" w:hAnsi="Times New Roman"/>
          <w:b w:val="false"/>
          <w:i w:val="false"/>
          <w:color w:val="000000"/>
          <w:sz w:val="16"/>
        </w:rPr>
        <w:t>, IAB 11/12/25,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441—76.6</w:t>
      </w:r>
      <w:r>
        <w:rPr>
          <w:rFonts w:ascii="Times New Roman" w:hAnsi="Times New Roman"/>
          <w:b/>
          <w:i w:val="false"/>
          <w:color w:val="000000"/>
          <w:sz w:val="22"/>
        </w:rPr>
        <w:t xml:space="preserve">(249A) </w:t>
      </w:r>
      <w:r>
        <w:rPr>
          <w:rFonts w:ascii="Times New Roman" w:hAnsi="Times New Roman"/>
          <w:b/>
          <w:i w:val="false"/>
          <w:color w:val="000000"/>
          <w:sz w:val="22"/>
        </w:rPr>
        <w:t xml:space="preserve">Referral for Medicare savings program. </w:t>
      </w:r>
      <w:r>
        <w:rPr>
          <w:rFonts w:ascii="Times New Roman" w:hAnsi="Times New Roman"/>
          <w:b w:val="false"/>
          <w:i w:val="false"/>
          <w:color w:val="000000"/>
          <w:sz w:val="22"/>
        </w:rPr>
        <w:t xml:space="preserve">Referrals received from the SSA </w:t>
      </w:r>
      <w:r>
        <w:rPr>
          <w:rFonts w:ascii="Times New Roman" w:hAnsi="Times New Roman"/>
          <w:b w:val="false"/>
          <w:i w:val="false"/>
          <w:color w:val="000000"/>
          <w:sz w:val="22"/>
        </w:rPr>
        <w:t>pursuant to 42 U.S.C. §1320b</w:t>
      </w:r>
      <w:r>
        <w:rPr>
          <w:rFonts w:ascii="Times New Roman" w:hAnsi="Times New Roman"/>
          <w:b w:val="false"/>
          <w:i w:val="false"/>
          <w:color w:val="000000"/>
          <w:sz w:val="22"/>
        </w:rPr>
        <w:t>-14(c)(3) when the individual has indicated that the individual wants to apply for the Medicare savings program will be treated by the department as an application for the Medicare savings program and will be processed as if the application were received directly by the department. The date of the individual’s application with SSA will be the application date for benefits under the Medicare savings program. When requested to do so, the applicant must complete a Medicare Savings Programs Additional Information Request form to provide additional information needed to determine Medicare savings program eligibility.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9702C</w:t>
      </w:r>
      <w:r>
        <w:rPr>
          <w:rFonts w:ascii="Times New Roman" w:hAnsi="Times New Roman"/>
          <w:b w:val="false"/>
          <w:i w:val="false"/>
          <w:color w:val="000000"/>
          <w:sz w:val="16"/>
        </w:rPr>
        <w:t>, IAB 11/12/25,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441—76.7</w:t>
      </w:r>
      <w:r>
        <w:rPr>
          <w:rFonts w:ascii="Times New Roman" w:hAnsi="Times New Roman"/>
          <w:b/>
          <w:i w:val="false"/>
          <w:color w:val="000000"/>
          <w:sz w:val="22"/>
        </w:rPr>
        <w:t xml:space="preserve">(249A) </w:t>
      </w:r>
      <w:r>
        <w:rPr>
          <w:rFonts w:ascii="Times New Roman" w:hAnsi="Times New Roman"/>
          <w:b/>
          <w:i w:val="false"/>
          <w:color w:val="000000"/>
          <w:sz w:val="22"/>
        </w:rPr>
        <w:t xml:space="preserve">Presumptive eligibility. </w:t>
      </w:r>
      <w:r>
        <w:rPr>
          <w:rFonts w:ascii="Times New Roman" w:hAnsi="Times New Roman"/>
          <w:b w:val="false"/>
          <w:i w:val="false"/>
          <w:color w:val="000000"/>
          <w:sz w:val="22"/>
        </w:rPr>
        <w:t>Persons may be temporarily and immediately enrolled in Medicaid based on a presumptive eligibility determination by a qualified entity at a presumptive provider pursuant to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76.7(1)</w:t>
      </w:r>
      <w:r>
        <w:rPr>
          <w:rFonts w:ascii="Times New Roman" w:hAnsi="Times New Roman"/>
          <w:b w:val="false"/>
          <w:i w:val="false"/>
          <w:color w:val="000000"/>
          <w:sz w:val="22"/>
        </w:rPr>
        <w:t> </w:t>
      </w:r>
      <w:r>
        <w:rPr>
          <w:rFonts w:ascii="Times New Roman" w:hAnsi="Times New Roman"/>
          <w:b w:val="false"/>
          <w:i/>
          <w:color w:val="000000"/>
          <w:sz w:val="22"/>
        </w:rPr>
        <w:t xml:space="preserve">Presumptive provider. </w:t>
      </w:r>
      <w:r>
        <w:rPr>
          <w:rFonts w:ascii="Times New Roman" w:hAnsi="Times New Roman"/>
          <w:b w:val="false"/>
          <w:i w:val="false"/>
          <w:color w:val="000000"/>
          <w:sz w:val="22"/>
        </w:rPr>
        <w:t>A presumptive provider is an organization approved by the department to conduct and authorize presumptive eligibility determinations. A provider organization that seeks to be authorized to make presumptive Medicaid eligibility determinations shall do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Complete the required self-directed policy and system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Apply to the department using the Application for Initial/Recertification to Be a Presumptive Provider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Read the Memorandum of Understanding with a Presumptive Provider for Presumptive Medicaid Eligibility Determinations form and agree in writing to its terms.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Comply with the requirements outlined in Iowa’s Medicaid state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Meet the definition of “qualified provider” </w:t>
      </w:r>
      <w:r>
        <w:rPr>
          <w:rFonts w:ascii="Times New Roman" w:hAnsi="Times New Roman"/>
          <w:b w:val="false"/>
          <w:i w:val="false"/>
          <w:color w:val="000000"/>
          <w:sz w:val="22"/>
        </w:rPr>
        <w:t>pursuant to 42 U.S.C. §1396r</w:t>
      </w:r>
      <w:r>
        <w:rPr>
          <w:rFonts w:ascii="Times New Roman" w:hAnsi="Times New Roman"/>
          <w:b w:val="false"/>
          <w:i w:val="false"/>
          <w:color w:val="000000"/>
          <w:sz w:val="22"/>
        </w:rPr>
        <w:t xml:space="preserve">-1.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Meet the definition of “qualified entity” in the following federal regulations for the category of persons covered: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For children under the age of 19, as described in </w:t>
      </w:r>
      <w:r>
        <w:rPr>
          <w:rFonts w:ascii="Times New Roman" w:hAnsi="Times New Roman"/>
          <w:b w:val="false"/>
          <w:i w:val="false"/>
          <w:color w:val="000000"/>
          <w:sz w:val="22"/>
        </w:rPr>
        <w:t>42 CFR §435.118</w:t>
      </w:r>
      <w:r>
        <w:rPr>
          <w:rFonts w:ascii="Times New Roman" w:hAnsi="Times New Roman"/>
          <w:b w:val="false"/>
          <w:i w:val="false"/>
          <w:color w:val="000000"/>
          <w:sz w:val="22"/>
        </w:rPr>
        <w:t xml:space="preserve">, the provider must meet the requirements of paragraphs (1) through (10) of the definition of “qualified entity” in </w:t>
      </w:r>
      <w:r>
        <w:rPr>
          <w:rFonts w:ascii="Times New Roman" w:hAnsi="Times New Roman"/>
          <w:b w:val="false"/>
          <w:i w:val="false"/>
          <w:color w:val="000000"/>
          <w:sz w:val="22"/>
        </w:rPr>
        <w:t>42 CFR §435.1101</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For pregnant women, as described in </w:t>
      </w:r>
      <w:r>
        <w:rPr>
          <w:rFonts w:ascii="Times New Roman" w:hAnsi="Times New Roman"/>
          <w:b w:val="false"/>
          <w:i w:val="false"/>
          <w:color w:val="000000"/>
          <w:sz w:val="22"/>
        </w:rPr>
        <w:t>42 CFR §435.116</w:t>
      </w:r>
      <w:r>
        <w:rPr>
          <w:rFonts w:ascii="Times New Roman" w:hAnsi="Times New Roman"/>
          <w:b w:val="false"/>
          <w:i w:val="false"/>
          <w:color w:val="000000"/>
          <w:sz w:val="22"/>
        </w:rPr>
        <w:t xml:space="preserve">, the provider must meet the requirements of </w:t>
      </w:r>
      <w:r>
        <w:rPr>
          <w:rFonts w:ascii="Times New Roman" w:hAnsi="Times New Roman"/>
          <w:b w:val="false"/>
          <w:i w:val="false"/>
          <w:color w:val="000000"/>
          <w:sz w:val="22"/>
        </w:rPr>
        <w:t>42 U.S.C. §1396r</w:t>
      </w:r>
      <w:r>
        <w:rPr>
          <w:rFonts w:ascii="Times New Roman" w:hAnsi="Times New Roman"/>
          <w:b w:val="false"/>
          <w:i w:val="false"/>
          <w:color w:val="000000"/>
          <w:sz w:val="22"/>
        </w:rPr>
        <w:t>-1(b)(2);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For parents and caretakers, as described in </w:t>
      </w:r>
      <w:r>
        <w:rPr>
          <w:rFonts w:ascii="Times New Roman" w:hAnsi="Times New Roman"/>
          <w:b w:val="false"/>
          <w:i w:val="false"/>
          <w:color w:val="000000"/>
          <w:sz w:val="22"/>
        </w:rPr>
        <w:t>42 CFR §435.110</w:t>
      </w:r>
      <w:r>
        <w:rPr>
          <w:rFonts w:ascii="Times New Roman" w:hAnsi="Times New Roman"/>
          <w:b w:val="false"/>
          <w:i w:val="false"/>
          <w:color w:val="000000"/>
          <w:sz w:val="22"/>
        </w:rPr>
        <w:t xml:space="preserve">, the provider must meet the requirements in </w:t>
      </w:r>
      <w:r>
        <w:rPr>
          <w:rFonts w:ascii="Times New Roman" w:hAnsi="Times New Roman"/>
          <w:b w:val="false"/>
          <w:i w:val="false"/>
          <w:color w:val="000000"/>
          <w:sz w:val="22"/>
        </w:rPr>
        <w:t>42 CFR §435.1103(b)</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For persons aged 19 through 64, as described in </w:t>
      </w:r>
      <w:r>
        <w:rPr>
          <w:rFonts w:ascii="Times New Roman" w:hAnsi="Times New Roman"/>
          <w:b w:val="false"/>
          <w:i w:val="false"/>
          <w:color w:val="000000"/>
          <w:sz w:val="22"/>
        </w:rPr>
        <w:t>42 CFR § 435.119</w:t>
      </w:r>
      <w:r>
        <w:rPr>
          <w:rFonts w:ascii="Times New Roman" w:hAnsi="Times New Roman"/>
          <w:b w:val="false"/>
          <w:i w:val="false"/>
          <w:color w:val="000000"/>
          <w:sz w:val="22"/>
        </w:rPr>
        <w:t xml:space="preserve">, the provider must meet the requirements in </w:t>
      </w:r>
      <w:r>
        <w:rPr>
          <w:rFonts w:ascii="Times New Roman" w:hAnsi="Times New Roman"/>
          <w:b w:val="false"/>
          <w:i w:val="false"/>
          <w:color w:val="000000"/>
          <w:sz w:val="22"/>
        </w:rPr>
        <w:t>42 CFR §435.1103(b)</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For former foster care children, as described in </w:t>
      </w:r>
      <w:r>
        <w:rPr>
          <w:rFonts w:ascii="Times New Roman" w:hAnsi="Times New Roman"/>
          <w:b w:val="false"/>
          <w:i w:val="false"/>
          <w:color w:val="000000"/>
          <w:sz w:val="22"/>
        </w:rPr>
        <w:t>42 CFR §435.150</w:t>
      </w:r>
      <w:r>
        <w:rPr>
          <w:rFonts w:ascii="Times New Roman" w:hAnsi="Times New Roman"/>
          <w:b w:val="false"/>
          <w:i w:val="false"/>
          <w:color w:val="000000"/>
          <w:sz w:val="22"/>
        </w:rPr>
        <w:t xml:space="preserve">, the provider must meet the requirements in </w:t>
      </w:r>
      <w:r>
        <w:rPr>
          <w:rFonts w:ascii="Times New Roman" w:hAnsi="Times New Roman"/>
          <w:b w:val="false"/>
          <w:i w:val="false"/>
          <w:color w:val="000000"/>
          <w:sz w:val="22"/>
        </w:rPr>
        <w:t>42 CFR §435.1103(b)</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For persons needing breast or cervical cancer treatment (BCCT), as described in </w:t>
      </w:r>
      <w:r>
        <w:rPr>
          <w:rFonts w:ascii="Times New Roman" w:hAnsi="Times New Roman"/>
          <w:b w:val="false"/>
          <w:i w:val="false"/>
          <w:color w:val="000000"/>
          <w:sz w:val="22"/>
        </w:rPr>
        <w:t>42 U.S.C. §1396r</w:t>
      </w:r>
      <w:r>
        <w:rPr>
          <w:rFonts w:ascii="Times New Roman" w:hAnsi="Times New Roman"/>
          <w:b w:val="false"/>
          <w:i w:val="false"/>
          <w:color w:val="000000"/>
          <w:sz w:val="22"/>
        </w:rPr>
        <w:t>-1b(b)(2);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For all of the categories of persons covered in subparagraphs </w:t>
      </w:r>
      <w:hyperlink r:id="rId29">
        <w:r>
          <w:rPr>
            <w:rStyle w:val="Hyperlink"/>
            <w:rFonts w:ascii="Times New Roman" w:hAnsi="Times New Roman"/>
            <w:b w:val="false"/>
            <w:i w:val="false"/>
            <w:color w:val="000000"/>
            <w:sz w:val="22"/>
          </w:rPr>
          <w:t>76.7(1)</w:t>
        </w:r>
        <w:r>
          <w:rPr>
            <w:rFonts w:ascii="Times New Roman" w:hAnsi="Times New Roman"/>
            <w:b w:val="false"/>
            <w:i/>
            <w:color w:val="000000"/>
            <w:sz w:val="22"/>
          </w:rPr>
          <w:t>“f”</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through </w:t>
      </w:r>
      <w:r>
        <w:rPr>
          <w:rFonts w:ascii="Times New Roman" w:hAnsi="Times New Roman"/>
          <w:b w:val="false"/>
          <w:i/>
          <w:color w:val="000000"/>
          <w:sz w:val="22"/>
        </w:rPr>
        <w:t>“f”</w:t>
      </w:r>
      <w:r>
        <w:rPr>
          <w:rFonts w:ascii="Times New Roman" w:hAnsi="Times New Roman"/>
          <w:b w:val="false"/>
          <w:i w:val="false"/>
          <w:color w:val="000000"/>
          <w:sz w:val="22"/>
        </w:rPr>
        <w:t xml:space="preserve">(6), a qualifying hospital must meet the requirements in </w:t>
      </w:r>
      <w:r>
        <w:rPr>
          <w:rFonts w:ascii="Times New Roman" w:hAnsi="Times New Roman"/>
          <w:b w:val="false"/>
          <w:i w:val="false"/>
          <w:color w:val="000000"/>
          <w:sz w:val="22"/>
        </w:rPr>
        <w:t>42 CFR §435.1110(b)</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Be recertified annually by doing the following: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Complete the required self-directed policy and system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Complete the Application for Initial/Recertification to Be a Presumptive Provider form;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Re-attest to the terms of the Provider Memorandum of Understanding by signing in writing.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76.7(2)</w:t>
      </w:r>
      <w:r>
        <w:rPr>
          <w:rFonts w:ascii="Times New Roman" w:hAnsi="Times New Roman"/>
          <w:b w:val="false"/>
          <w:i w:val="false"/>
          <w:color w:val="000000"/>
          <w:sz w:val="22"/>
        </w:rPr>
        <w:t> </w:t>
      </w:r>
      <w:r>
        <w:rPr>
          <w:rFonts w:ascii="Times New Roman" w:hAnsi="Times New Roman"/>
          <w:b w:val="false"/>
          <w:i/>
          <w:color w:val="000000"/>
          <w:sz w:val="22"/>
        </w:rPr>
        <w:t xml:space="preserve">Qualified entity.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individual that seeks to be authorized to make presumptive Medicaid eligibility determinations under the supervision and authority of a presumptive provider shall do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Complete the required self-directed policy and system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Complete the Qualified Entity Medicaid Presumptive Eligibility Portal (MPEP) Access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Read the Provider Memorandum of Understanding and agree in writing to its terms.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Obtain confirmation of acceptance by the department that the individual is determined by the department to be capable of making presumptive Medicaid eligibility determinations.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to the requirements in paragraph </w:t>
      </w:r>
      <w:hyperlink r:id="rId30">
        <w:r>
          <w:rPr>
            <w:rStyle w:val="Hyperlink"/>
            <w:rFonts w:ascii="Times New Roman" w:hAnsi="Times New Roman"/>
            <w:b w:val="false"/>
            <w:i w:val="false"/>
            <w:color w:val="000000"/>
            <w:sz w:val="22"/>
          </w:rPr>
          <w:t>76.7(2)</w:t>
        </w:r>
        <w:r>
          <w:rPr>
            <w:rFonts w:ascii="Times New Roman" w:hAnsi="Times New Roman"/>
            <w:b w:val="false"/>
            <w:i/>
            <w:color w:val="000000"/>
            <w:sz w:val="22"/>
          </w:rPr>
          <w:t>“a,”</w:t>
        </w:r>
      </w:hyperlink>
      <w:r>
        <w:rPr>
          <w:rFonts w:ascii="Times New Roman" w:hAnsi="Times New Roman"/>
          <w:b w:val="false"/>
          <w:i w:val="false"/>
          <w:color w:val="000000"/>
          <w:sz w:val="22"/>
        </w:rPr>
        <w:t xml:space="preserve"> a qualified entity for BCCT must also have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Been named lead agency for a county or regional local breast and cervical cancer early detection program under a contract with the department;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cooperative agreement with the department under the Centers for Disease Control and Prevention National Breast and Cervical Cancer Early Detection Program established under </w:t>
      </w:r>
      <w:r>
        <w:rPr>
          <w:rFonts w:ascii="Times New Roman" w:hAnsi="Times New Roman"/>
          <w:b w:val="false"/>
          <w:i w:val="false"/>
          <w:color w:val="000000"/>
          <w:sz w:val="22"/>
        </w:rPr>
        <w:t>Title XV of the Public Health Service Act</w:t>
      </w:r>
      <w:r>
        <w:rPr>
          <w:rFonts w:ascii="Times New Roman" w:hAnsi="Times New Roman"/>
          <w:b w:val="false"/>
          <w:i w:val="false"/>
          <w:color w:val="000000"/>
          <w:sz w:val="22"/>
        </w:rPr>
        <w:t xml:space="preserve"> as amended to August 1, 2025, to receive reimbursement for providing breast or cervical cancer screening or diagnostic services to participants in the care for yourself breast and cervical cancer early detection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Only employees of the presumptive provider may be given the authority to make presumptive eligibility determinations.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Qualified entities are required to be recertified annually by doing the following: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Complete the required self-directed policy and system training;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Complete the Qualified Entity Medicaid Presumptive Eligibility Portal Recertification form;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Re-attest to the terms of the Provider Memorandum of Understanding in writing.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76.7(3)</w:t>
      </w:r>
      <w:r>
        <w:rPr>
          <w:rFonts w:ascii="Times New Roman" w:hAnsi="Times New Roman"/>
          <w:b w:val="false"/>
          <w:i w:val="false"/>
          <w:color w:val="000000"/>
          <w:sz w:val="22"/>
        </w:rPr>
        <w:t> </w:t>
      </w:r>
      <w:r>
        <w:rPr>
          <w:rFonts w:ascii="Times New Roman" w:hAnsi="Times New Roman"/>
          <w:b w:val="false"/>
          <w:i/>
          <w:color w:val="000000"/>
          <w:sz w:val="22"/>
        </w:rPr>
        <w:t xml:space="preserve">How and where to file. </w:t>
      </w:r>
      <w:r>
        <w:rPr>
          <w:rFonts w:ascii="Times New Roman" w:hAnsi="Times New Roman"/>
          <w:b w:val="false"/>
          <w:i w:val="false"/>
          <w:color w:val="000000"/>
          <w:sz w:val="22"/>
        </w:rPr>
        <w:t>An applicant for presumptive Medicaid shall complete an application with a qualified entity in one of two ways: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Provide information in person to the qualified entity that enters the applicant’s information into the MPEP system;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Complete a paper application provided by the qualified entity that enters the applicant’s information into the MPEP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76.7(4)</w:t>
      </w:r>
      <w:r>
        <w:rPr>
          <w:rFonts w:ascii="Times New Roman" w:hAnsi="Times New Roman"/>
          <w:b w:val="false"/>
          <w:i w:val="false"/>
          <w:color w:val="000000"/>
          <w:sz w:val="22"/>
        </w:rPr>
        <w:t> </w:t>
      </w:r>
      <w:r>
        <w:rPr>
          <w:rFonts w:ascii="Times New Roman" w:hAnsi="Times New Roman"/>
          <w:b w:val="false"/>
          <w:i/>
          <w:color w:val="000000"/>
          <w:sz w:val="22"/>
        </w:rPr>
        <w:t xml:space="preserve">Signature. </w:t>
      </w:r>
      <w:r>
        <w:rPr>
          <w:rFonts w:ascii="Times New Roman" w:hAnsi="Times New Roman"/>
          <w:b w:val="false"/>
          <w:i w:val="false"/>
          <w:color w:val="000000"/>
          <w:sz w:val="22"/>
        </w:rPr>
        <w:t xml:space="preserve">An individual listed in paragraph </w:t>
      </w:r>
      <w:hyperlink r:id="rId31">
        <w:r>
          <w:rPr>
            <w:rStyle w:val="Hyperlink"/>
            <w:rFonts w:ascii="Times New Roman" w:hAnsi="Times New Roman"/>
            <w:b w:val="false"/>
            <w:i w:val="false"/>
            <w:color w:val="000000"/>
            <w:sz w:val="22"/>
          </w:rPr>
          <w:t>76.2(1)</w:t>
        </w:r>
        <w:r>
          <w:rPr>
            <w:rFonts w:ascii="Times New Roman" w:hAnsi="Times New Roman"/>
            <w:b w:val="false"/>
            <w:i/>
            <w:color w:val="000000"/>
            <w:sz w:val="22"/>
          </w:rPr>
          <w:t>“a”</w:t>
        </w:r>
      </w:hyperlink>
      <w:r>
        <w:rPr>
          <w:rFonts w:ascii="Times New Roman" w:hAnsi="Times New Roman"/>
          <w:b w:val="false"/>
          <w:i w:val="false"/>
          <w:color w:val="000000"/>
          <w:sz w:val="22"/>
        </w:rPr>
        <w:t xml:space="preserve"> must sign the completed paper application or a printed version of the completed MPEP application. A copy of the signed application must be maintained by the qualified entity.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76.7(5)</w:t>
      </w:r>
      <w:r>
        <w:rPr>
          <w:rFonts w:ascii="Times New Roman" w:hAnsi="Times New Roman"/>
          <w:b w:val="false"/>
          <w:i w:val="false"/>
          <w:color w:val="000000"/>
          <w:sz w:val="22"/>
        </w:rPr>
        <w:t> </w:t>
      </w:r>
      <w:r>
        <w:rPr>
          <w:rFonts w:ascii="Times New Roman" w:hAnsi="Times New Roman"/>
          <w:b w:val="false"/>
          <w:i/>
          <w:color w:val="000000"/>
          <w:sz w:val="22"/>
        </w:rPr>
        <w:t xml:space="preserve">Date of filing and effective date of coverage.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For purposes of determining the application date of filing for an ongoing eligibility determination, a paper application is valid only if it contains the applicant’s legible name, address, and signature under penalty of perjury and must be date-stamped on the date it is received by the qualified entity.  The date of filing as described in paragraph </w:t>
      </w:r>
      <w:hyperlink r:id="rId32">
        <w:r>
          <w:rPr>
            <w:rStyle w:val="Hyperlink"/>
            <w:rFonts w:ascii="Times New Roman" w:hAnsi="Times New Roman"/>
            <w:b w:val="false"/>
            <w:i w:val="false"/>
            <w:color w:val="000000"/>
            <w:sz w:val="22"/>
          </w:rPr>
          <w:t>76.2(2)</w:t>
        </w:r>
        <w:r>
          <w:rPr>
            <w:rFonts w:ascii="Times New Roman" w:hAnsi="Times New Roman"/>
            <w:b w:val="false"/>
            <w:i/>
            <w:color w:val="000000"/>
            <w:sz w:val="22"/>
          </w:rPr>
          <w:t>“a”</w:t>
        </w:r>
      </w:hyperlink>
      <w:r>
        <w:rPr>
          <w:rFonts w:ascii="Times New Roman" w:hAnsi="Times New Roman"/>
          <w:b w:val="false"/>
          <w:i w:val="false"/>
          <w:color w:val="000000"/>
          <w:sz w:val="22"/>
        </w:rPr>
        <w:t xml:space="preserve"> is used for purposes of determining the effective date of coverage for ongoing eligibility but does not determine the effective date of coverage for presumptive Medicaid.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effective date of coverage for presumptive Medicaid is the date on which a qualified entity completes the presumptive eligibility determination within the MPEP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applicant must provide to the qualified entity all information necessary to make a presumptive eligibility determination in the MPEP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76.7(6)</w:t>
      </w:r>
      <w:r>
        <w:rPr>
          <w:rFonts w:ascii="Times New Roman" w:hAnsi="Times New Roman"/>
          <w:b w:val="false"/>
          <w:i w:val="false"/>
          <w:color w:val="000000"/>
          <w:sz w:val="22"/>
        </w:rPr>
        <w:t> </w:t>
      </w:r>
      <w:r>
        <w:rPr>
          <w:rFonts w:ascii="Times New Roman" w:hAnsi="Times New Roman"/>
          <w:b w:val="false"/>
          <w:i/>
          <w:color w:val="000000"/>
          <w:sz w:val="22"/>
        </w:rPr>
        <w:t xml:space="preserve">Notice and appeal rights. </w:t>
      </w:r>
      <w:r>
        <w:rPr>
          <w:rFonts w:ascii="Times New Roman" w:hAnsi="Times New Roman"/>
          <w:b w:val="false"/>
          <w:i w:val="false"/>
          <w:color w:val="000000"/>
          <w:sz w:val="22"/>
        </w:rPr>
        <w:t xml:space="preserve">The qualified entity shall inform the applicant of the eligibility decision as soon as possible but no later than two working days after the date the determination is made by the qualified entity. Timely and adequate notice requirements and appeal rights of the Medicaid program, including those outlined in </w:t>
      </w:r>
      <w:r>
        <w:rPr>
          <w:rFonts w:ascii="Times New Roman" w:hAnsi="Times New Roman"/>
          <w:b w:val="false"/>
          <w:i w:val="false"/>
          <w:color w:val="000000"/>
          <w:sz w:val="22"/>
        </w:rPr>
        <w:t>42 CFR Part 431, subpart E</w:t>
      </w:r>
      <w:r>
        <w:rPr>
          <w:rFonts w:ascii="Times New Roman" w:hAnsi="Times New Roman"/>
          <w:b w:val="false"/>
          <w:i w:val="false"/>
          <w:color w:val="000000"/>
          <w:sz w:val="22"/>
        </w:rPr>
        <w:t xml:space="preserve">; Iowa Code chapter </w:t>
      </w:r>
      <w:hyperlink r:id="rId33">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34">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 xml:space="preserve">; and </w:t>
      </w:r>
      <w:hyperlink r:id="rId35">
        <w:r>
          <w:rPr>
            <w:rStyle w:val="Hyperlink"/>
            <w:rFonts w:ascii="Times New Roman" w:hAnsi="Times New Roman"/>
            <w:b w:val="false"/>
            <w:i w:val="false"/>
            <w:color w:val="000000"/>
            <w:sz w:val="22"/>
          </w:rPr>
          <w:t>441—Chapter 16</w:t>
        </w:r>
      </w:hyperlink>
      <w:r>
        <w:rPr>
          <w:rFonts w:ascii="Times New Roman" w:hAnsi="Times New Roman"/>
          <w:b w:val="false"/>
          <w:i w:val="false"/>
          <w:color w:val="000000"/>
          <w:sz w:val="22"/>
        </w:rPr>
        <w:t>, do not apply to determinations of presumptive eligibility under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76.7(7)</w:t>
      </w:r>
      <w:r>
        <w:rPr>
          <w:rFonts w:ascii="Times New Roman" w:hAnsi="Times New Roman"/>
          <w:b w:val="false"/>
          <w:i w:val="false"/>
          <w:color w:val="000000"/>
          <w:sz w:val="22"/>
        </w:rPr>
        <w:t> </w:t>
      </w:r>
      <w:r>
        <w:rPr>
          <w:rFonts w:ascii="Times New Roman" w:hAnsi="Times New Roman"/>
          <w:b w:val="false"/>
          <w:i/>
          <w:color w:val="000000"/>
          <w:sz w:val="22"/>
        </w:rPr>
        <w:t xml:space="preserve">Full medical assistance eligibility determination. </w:t>
      </w:r>
      <w:r>
        <w:rPr>
          <w:rFonts w:ascii="Times New Roman" w:hAnsi="Times New Roman"/>
          <w:b w:val="false"/>
          <w:i w:val="false"/>
          <w:color w:val="000000"/>
          <w:sz w:val="22"/>
        </w:rPr>
        <w:t>All presumptive eligibility applications will be given the option within the MPEP system to also receive a full determination of eligibility for Medicaid or hawki.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9702C</w:t>
      </w:r>
      <w:r>
        <w:rPr>
          <w:rFonts w:ascii="Times New Roman" w:hAnsi="Times New Roman"/>
          <w:b w:val="false"/>
          <w:i w:val="false"/>
          <w:color w:val="000000"/>
          <w:sz w:val="16"/>
        </w:rPr>
        <w:t>, IAB 11/12/25,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441—76.8</w:t>
      </w:r>
      <w:r>
        <w:rPr>
          <w:rFonts w:ascii="Times New Roman" w:hAnsi="Times New Roman"/>
          <w:b/>
          <w:i w:val="false"/>
          <w:color w:val="000000"/>
          <w:sz w:val="22"/>
        </w:rPr>
        <w:t xml:space="preserve">(249A) </w:t>
      </w:r>
      <w:r>
        <w:rPr>
          <w:rFonts w:ascii="Times New Roman" w:hAnsi="Times New Roman"/>
          <w:b/>
          <w:i w:val="false"/>
          <w:color w:val="000000"/>
          <w:sz w:val="22"/>
        </w:rPr>
        <w:t xml:space="preserve">Applicant and member responsibilities.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76.8(1)</w:t>
      </w:r>
      <w:r>
        <w:rPr>
          <w:rFonts w:ascii="Times New Roman" w:hAnsi="Times New Roman"/>
          <w:b w:val="false"/>
          <w:i w:val="false"/>
          <w:color w:val="000000"/>
          <w:sz w:val="22"/>
        </w:rPr>
        <w:t> </w:t>
      </w:r>
      <w:r>
        <w:rPr>
          <w:rFonts w:ascii="Times New Roman" w:hAnsi="Times New Roman"/>
          <w:b w:val="false"/>
          <w:i/>
          <w:color w:val="000000"/>
          <w:sz w:val="22"/>
        </w:rPr>
        <w:t xml:space="preserve">Accurate information. </w:t>
      </w:r>
      <w:r>
        <w:rPr>
          <w:rFonts w:ascii="Times New Roman" w:hAnsi="Times New Roman"/>
          <w:b w:val="false"/>
          <w:i w:val="false"/>
          <w:color w:val="000000"/>
          <w:sz w:val="22"/>
        </w:rPr>
        <w:t>Clients, and those individuals acting on behalf of clients, are responsible for giving complete and accurate information needed to establish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76.8(2)</w:t>
      </w:r>
      <w:r>
        <w:rPr>
          <w:rFonts w:ascii="Times New Roman" w:hAnsi="Times New Roman"/>
          <w:b w:val="false"/>
          <w:i w:val="false"/>
          <w:color w:val="000000"/>
          <w:sz w:val="22"/>
        </w:rPr>
        <w:t> </w:t>
      </w:r>
      <w:r>
        <w:rPr>
          <w:rFonts w:ascii="Times New Roman" w:hAnsi="Times New Roman"/>
          <w:b w:val="false"/>
          <w:i/>
          <w:color w:val="000000"/>
          <w:sz w:val="22"/>
        </w:rPr>
        <w:t xml:space="preserve">Additional information or verification needed to determine eligibility. </w:t>
      </w:r>
      <w:r>
        <w:rPr>
          <w:rFonts w:ascii="Times New Roman" w:hAnsi="Times New Roman"/>
          <w:b w:val="false"/>
          <w:i w:val="false"/>
          <w:color w:val="000000"/>
          <w:sz w:val="22"/>
        </w:rPr>
        <w:t>An applicant or member will not be required to provide additional verifications if attested income meets the department’s standards for reasonable compatibility and if the department can verify all other required information through an EDS. If attested income does not meet the department’s standards for reasonable compatibility or if the department is not able to verify other required information through an EDS, the department will send the applicant or member a written request for the additional information or verification. The applicant or member must provide the additional information or verification by the requested due date or such application may be denied or Medicaid or hawki benefits may be discontinued.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76.8(3)</w:t>
      </w:r>
      <w:r>
        <w:rPr>
          <w:rFonts w:ascii="Times New Roman" w:hAnsi="Times New Roman"/>
          <w:b w:val="false"/>
          <w:i w:val="false"/>
          <w:color w:val="000000"/>
          <w:sz w:val="22"/>
        </w:rPr>
        <w:t> </w:t>
      </w:r>
      <w:r>
        <w:rPr>
          <w:rFonts w:ascii="Times New Roman" w:hAnsi="Times New Roman"/>
          <w:b w:val="false"/>
          <w:i/>
          <w:color w:val="000000"/>
          <w:sz w:val="22"/>
        </w:rPr>
        <w:t xml:space="preserve">Time frames for providing information or verification. </w:t>
      </w:r>
      <w:r>
        <w:rPr>
          <w:rFonts w:ascii="Times New Roman" w:hAnsi="Times New Roman"/>
          <w:b w:val="false"/>
          <w:i w:val="false"/>
          <w:color w:val="000000"/>
          <w:sz w:val="22"/>
        </w:rPr>
        <w:t>Clients have ten calendar days from the date on the written request by the department to provide additional information or verification requested. If the tenth calendar day falls on a weekend or state holiday, the individual will have until the end of business hours on the next business day to provide the information or verification. The information or verification is considered provided on the date it is received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76.8(4)</w:t>
      </w:r>
      <w:r>
        <w:rPr>
          <w:rFonts w:ascii="Times New Roman" w:hAnsi="Times New Roman"/>
          <w:b w:val="false"/>
          <w:i w:val="false"/>
          <w:color w:val="000000"/>
          <w:sz w:val="22"/>
        </w:rPr>
        <w:t> </w:t>
      </w:r>
      <w:r>
        <w:rPr>
          <w:rFonts w:ascii="Times New Roman" w:hAnsi="Times New Roman"/>
          <w:b w:val="false"/>
          <w:i/>
          <w:color w:val="000000"/>
          <w:sz w:val="22"/>
        </w:rPr>
        <w:t xml:space="preserve">Extensions. </w:t>
      </w:r>
      <w:r>
        <w:rPr>
          <w:rFonts w:ascii="Times New Roman" w:hAnsi="Times New Roman"/>
          <w:b w:val="false"/>
          <w:i w:val="false"/>
          <w:color w:val="000000"/>
          <w:sz w:val="22"/>
        </w:rPr>
        <w:t>The applicant or member may request an extension for a reasonable period of time when the applicant or member is making every effort but is unable to secure the required information or verification.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76.8(5)</w:t>
      </w:r>
      <w:r>
        <w:rPr>
          <w:rFonts w:ascii="Times New Roman" w:hAnsi="Times New Roman"/>
          <w:b w:val="false"/>
          <w:i w:val="false"/>
          <w:color w:val="000000"/>
          <w:sz w:val="22"/>
        </w:rPr>
        <w:t> </w:t>
      </w:r>
      <w:r>
        <w:rPr>
          <w:rFonts w:ascii="Times New Roman" w:hAnsi="Times New Roman"/>
          <w:b w:val="false"/>
          <w:i/>
          <w:color w:val="000000"/>
          <w:sz w:val="22"/>
        </w:rPr>
        <w:t xml:space="preserve">Interviews. </w:t>
      </w:r>
      <w:r>
        <w:rPr>
          <w:rFonts w:ascii="Times New Roman" w:hAnsi="Times New Roman"/>
          <w:b w:val="false"/>
          <w:i w:val="false"/>
          <w:color w:val="000000"/>
          <w:sz w:val="22"/>
        </w:rPr>
        <w:t>Applicants and members who are being evaluated on the basis of the MAGI methodology will not be required to attend an interview. Applicants and members who are being evaluated on a basis other than the MAGI methodology may be required to attend an interview to clarify information or to resolve conflicting information. The department will not require an in-person interview as part of the application process. If applicable, the department will notify the applicant, authorized representative, or responsible person of the date, time, and method of the interview. Notification will be provided personally by telephone, email, mail, or fax.</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76.8(6)</w:t>
      </w:r>
      <w:r>
        <w:rPr>
          <w:rFonts w:ascii="Times New Roman" w:hAnsi="Times New Roman"/>
          <w:b w:val="false"/>
          <w:i w:val="false"/>
          <w:color w:val="000000"/>
          <w:sz w:val="22"/>
        </w:rPr>
        <w:t> </w:t>
      </w:r>
      <w:r>
        <w:rPr>
          <w:rFonts w:ascii="Times New Roman" w:hAnsi="Times New Roman"/>
          <w:b w:val="false"/>
          <w:i/>
          <w:color w:val="000000"/>
          <w:sz w:val="22"/>
        </w:rPr>
        <w:t xml:space="preserve">Failure to comply. </w:t>
      </w:r>
      <w:r>
        <w:rPr>
          <w:rFonts w:ascii="Times New Roman" w:hAnsi="Times New Roman"/>
          <w:b w:val="false"/>
          <w:i w:val="false"/>
          <w:color w:val="000000"/>
          <w:sz w:val="22"/>
        </w:rPr>
        <w:t>An application will be denied or assistance will be discontinued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or member does not attend a required interview, pursuant to subrule </w:t>
      </w:r>
      <w:hyperlink r:id="rId36">
        <w:r>
          <w:rPr>
            <w:rStyle w:val="Hyperlink"/>
            <w:rFonts w:ascii="Times New Roman" w:hAnsi="Times New Roman"/>
            <w:b w:val="false"/>
            <w:i w:val="false"/>
            <w:color w:val="000000"/>
            <w:sz w:val="22"/>
          </w:rPr>
          <w:t>76.8(5)</w:t>
        </w:r>
      </w:hyperlink>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does not receive one of the following by the due date indicated on the written request for additional information in accordance with subrules </w:t>
      </w:r>
      <w:hyperlink r:id="rId37">
        <w:r>
          <w:rPr>
            <w:rStyle w:val="Hyperlink"/>
            <w:rFonts w:ascii="Times New Roman" w:hAnsi="Times New Roman"/>
            <w:b w:val="false"/>
            <w:i w:val="false"/>
            <w:color w:val="000000"/>
            <w:sz w:val="22"/>
          </w:rPr>
          <w:t>76.8(2) through 76.8(4)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information, verification, or a statement that reasonably explains the discrepancy;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authorization for the department to obtain the information or verification;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request for an extension of the due date.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9702C</w:t>
      </w:r>
      <w:r>
        <w:rPr>
          <w:rFonts w:ascii="Times New Roman" w:hAnsi="Times New Roman"/>
          <w:b w:val="false"/>
          <w:i w:val="false"/>
          <w:color w:val="000000"/>
          <w:sz w:val="16"/>
        </w:rPr>
        <w:t>, IAB 11/12/25,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441—76.9</w:t>
      </w:r>
      <w:r>
        <w:rPr>
          <w:rFonts w:ascii="Times New Roman" w:hAnsi="Times New Roman"/>
          <w:b/>
          <w:i w:val="false"/>
          <w:color w:val="000000"/>
          <w:sz w:val="22"/>
        </w:rPr>
        <w:t xml:space="preserve">(249A) </w:t>
      </w:r>
      <w:r>
        <w:rPr>
          <w:rFonts w:ascii="Times New Roman" w:hAnsi="Times New Roman"/>
          <w:b/>
          <w:i w:val="false"/>
          <w:color w:val="000000"/>
          <w:sz w:val="22"/>
        </w:rPr>
        <w:t xml:space="preserve">Responsible persons and authorized representatives.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76.9(1)</w:t>
      </w:r>
      <w:r>
        <w:rPr>
          <w:rFonts w:ascii="Times New Roman" w:hAnsi="Times New Roman"/>
          <w:b w:val="false"/>
          <w:i w:val="false"/>
          <w:color w:val="000000"/>
          <w:sz w:val="22"/>
        </w:rPr>
        <w:t> </w:t>
      </w:r>
      <w:r>
        <w:rPr>
          <w:rFonts w:ascii="Times New Roman" w:hAnsi="Times New Roman"/>
          <w:b w:val="false"/>
          <w:i/>
          <w:color w:val="000000"/>
          <w:sz w:val="22"/>
        </w:rPr>
        <w:t xml:space="preserve">Responsible person. </w:t>
      </w:r>
      <w:r>
        <w:rPr>
          <w:rFonts w:ascii="Times New Roman" w:hAnsi="Times New Roman"/>
          <w:b w:val="false"/>
          <w:i w:val="false"/>
          <w:color w:val="000000"/>
          <w:sz w:val="22"/>
        </w:rPr>
        <w:t>If an applicant or member is unable to act on the applicant’s or member’s own behalf because the applicant or member is a minor or is incompetent, incapacitated, or deceased, a responsible person may act for the applicant or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paragraph </w:t>
      </w:r>
      <w:hyperlink r:id="rId38">
        <w:r>
          <w:rPr>
            <w:rStyle w:val="Hyperlink"/>
            <w:rFonts w:ascii="Times New Roman" w:hAnsi="Times New Roman"/>
            <w:b w:val="false"/>
            <w:i w:val="false"/>
            <w:color w:val="000000"/>
            <w:sz w:val="22"/>
          </w:rPr>
          <w:t>76.9(1)</w:t>
        </w:r>
      </w:hyperlink>
      <w:r>
        <w:rPr>
          <w:rFonts w:ascii="Times New Roman" w:hAnsi="Times New Roman"/>
          <w:b w:val="false"/>
          <w:i/>
          <w:color w:val="000000"/>
          <w:sz w:val="22"/>
        </w:rPr>
        <w:t>“d,”</w:t>
      </w:r>
      <w:r>
        <w:rPr>
          <w:rFonts w:ascii="Times New Roman" w:hAnsi="Times New Roman"/>
          <w:b w:val="false"/>
          <w:i w:val="false"/>
          <w:color w:val="000000"/>
          <w:sz w:val="22"/>
        </w:rPr>
        <w:t xml:space="preserve"> when the applicant or member is incompetent, incapacitated, or deceased, the responsible person shall be a family member, friend or other person who has knowledge of the applicant’s or member’s financial affairs and circumstances and has a personal interest in the applicant’s or member’s welfare.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paragraph </w:t>
      </w:r>
      <w:hyperlink r:id="rId39">
        <w:r>
          <w:rPr>
            <w:rStyle w:val="Hyperlink"/>
            <w:rFonts w:ascii="Times New Roman" w:hAnsi="Times New Roman"/>
            <w:b w:val="false"/>
            <w:i w:val="false"/>
            <w:color w:val="000000"/>
            <w:sz w:val="22"/>
          </w:rPr>
          <w:t>76.9(1)</w:t>
        </w:r>
      </w:hyperlink>
      <w:r>
        <w:rPr>
          <w:rFonts w:ascii="Times New Roman" w:hAnsi="Times New Roman"/>
          <w:b w:val="false"/>
          <w:i/>
          <w:color w:val="000000"/>
          <w:sz w:val="22"/>
        </w:rPr>
        <w:t>“d,”</w:t>
      </w:r>
      <w:r>
        <w:rPr>
          <w:rFonts w:ascii="Times New Roman" w:hAnsi="Times New Roman"/>
          <w:b w:val="false"/>
          <w:i w:val="false"/>
          <w:color w:val="000000"/>
          <w:sz w:val="22"/>
        </w:rPr>
        <w:t xml:space="preserve"> when the applicant or member is unable to act on the applicant’s or member’s own behalf solely because the applicant or member is a minor, the responsible person shall be an adult in the child’s household or family as described in paragraph </w:t>
      </w:r>
      <w:hyperlink r:id="rId40">
        <w:r>
          <w:rPr>
            <w:rStyle w:val="Hyperlink"/>
            <w:rFonts w:ascii="Times New Roman" w:hAnsi="Times New Roman"/>
            <w:b w:val="false"/>
            <w:i w:val="false"/>
            <w:color w:val="000000"/>
            <w:sz w:val="22"/>
          </w:rPr>
          <w:t>76.2(1)</w:t>
        </w:r>
        <w:r>
          <w:rPr>
            <w:rFonts w:ascii="Times New Roman" w:hAnsi="Times New Roman"/>
            <w:b w:val="false"/>
            <w:i/>
            <w:color w:val="000000"/>
            <w:sz w:val="22"/>
          </w:rPr>
          <w:t>“a.”</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responsible person shall assume the applicant’s or member’s position and responsibilities during the application process or for ongoing eligibility. The responsible person may designate an authorized representative pursuant to subrule </w:t>
      </w:r>
      <w:hyperlink r:id="rId41">
        <w:r>
          <w:rPr>
            <w:rStyle w:val="Hyperlink"/>
            <w:rFonts w:ascii="Times New Roman" w:hAnsi="Times New Roman"/>
            <w:b w:val="false"/>
            <w:i w:val="false"/>
            <w:color w:val="000000"/>
            <w:sz w:val="22"/>
          </w:rPr>
          <w:t>76.9(2)</w:t>
        </w:r>
      </w:hyperlink>
      <w:r>
        <w:rPr>
          <w:rFonts w:ascii="Times New Roman" w:hAnsi="Times New Roman"/>
          <w:b w:val="false"/>
          <w:i w:val="false"/>
          <w:color w:val="000000"/>
          <w:sz w:val="22"/>
        </w:rPr>
        <w:t xml:space="preserve"> to represent the applicant or member. However, the designation of an authorized representative does not relieve the responsible person from assuming the applicant’s or member’s position and responsibilities during the application process or for ongoing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there is no person as described in paragraphs </w:t>
      </w:r>
      <w:hyperlink r:id="rId42">
        <w:r>
          <w:rPr>
            <w:rStyle w:val="Hyperlink"/>
            <w:rFonts w:ascii="Times New Roman" w:hAnsi="Times New Roman"/>
            <w:b w:val="false"/>
            <w:i w:val="false"/>
            <w:color w:val="000000"/>
            <w:sz w:val="22"/>
          </w:rPr>
          <w:t>79.6(1)</w:t>
        </w:r>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“c”</w:t>
        </w:r>
      </w:hyperlink>
      <w:r>
        <w:rPr>
          <w:rFonts w:ascii="Times New Roman" w:hAnsi="Times New Roman"/>
          <w:b w:val="false"/>
          <w:i w:val="false"/>
          <w:color w:val="000000"/>
          <w:sz w:val="22"/>
        </w:rPr>
        <w:t xml:space="preserve"> to act on behalf of the minor, incompetent, incapacitated, or deceased applicant or member, any individual or organization may be allowed to act as the responsible person if the individual or organization conducts a diligent search and completes the required form, attesting to the individual’s or organization’s inability to find a responsible person to act on behalf of the minor, incompetent, incapacitated, or deceased applicant or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department may require verification of the applicant’s or member’s incompetence or death and of the responsible person’s relationship to the applicant or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Copies of all correspondence the department would otherwise provide to the applicant or member will be provided to the recognized responsible 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76.9(2)</w:t>
      </w:r>
      <w:r>
        <w:rPr>
          <w:rFonts w:ascii="Times New Roman" w:hAnsi="Times New Roman"/>
          <w:b w:val="false"/>
          <w:i w:val="false"/>
          <w:color w:val="000000"/>
          <w:sz w:val="22"/>
        </w:rPr>
        <w:t> </w:t>
      </w:r>
      <w:r>
        <w:rPr>
          <w:rFonts w:ascii="Times New Roman" w:hAnsi="Times New Roman"/>
          <w:b w:val="false"/>
          <w:i/>
          <w:color w:val="000000"/>
          <w:sz w:val="22"/>
        </w:rPr>
        <w:t xml:space="preserve">Authorized representative.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individual or organization designated by a competent applicant or member, or by a responsible person recognized pursuant to subrule </w:t>
      </w:r>
      <w:hyperlink r:id="rId43">
        <w:r>
          <w:rPr>
            <w:rStyle w:val="Hyperlink"/>
            <w:rFonts w:ascii="Times New Roman" w:hAnsi="Times New Roman"/>
            <w:b w:val="false"/>
            <w:i w:val="false"/>
            <w:color w:val="000000"/>
            <w:sz w:val="22"/>
          </w:rPr>
          <w:t>76.9(1)</w:t>
        </w:r>
      </w:hyperlink>
      <w:r>
        <w:rPr>
          <w:rFonts w:ascii="Times New Roman" w:hAnsi="Times New Roman"/>
          <w:b w:val="false"/>
          <w:i w:val="false"/>
          <w:color w:val="000000"/>
          <w:sz w:val="22"/>
        </w:rPr>
        <w:t>, or with other legal authority to do so may act on behalf of the applicant or member in the application process, in the review process, or for ongoing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designation of an authorized representative by an applicant, member, or responsible person must be in writing and must be signed and dated by the applicant, member, or responsible person. The applicant, member, or responsible person may authorize the representative to complete and sign an application on the applicant’s or member’s behalf, complete and submit a review form, receive copies of the applicant’s or member’s notices and other communications from the department, and act on behalf of the applicant or member in all other matters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Legal documentation of authority to act on behalf of the applicant or member under state law, such as a court order establishing legal guardianship or a power of attorney, shall serve in place of a written authorization by the applicant or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Designations of authorized representatives, legal documentation of authority to act on behalf of the applicant or member, and modifications or terminations of designations or legal authority may be submitted via the department’s website, mail, email, or fax or in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For purposes of this rule, the department will accept electronic, including telephonically recorded, signatures and handwritten signatures (including when transmitted by fax or other electronic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If the authorization: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Indicates the time period or dates the authorization is to cover, the stated period or dates will be honored until or unless a rescission is submitted to the department as described in subparagraph </w:t>
      </w:r>
      <w:hyperlink r:id="rId44">
        <w:r>
          <w:rPr>
            <w:rStyle w:val="Hyperlink"/>
            <w:rFonts w:ascii="Times New Roman" w:hAnsi="Times New Roman"/>
            <w:b w:val="false"/>
            <w:i w:val="false"/>
            <w:color w:val="000000"/>
            <w:sz w:val="22"/>
          </w:rPr>
          <w:t>76.9(2)</w:t>
        </w:r>
        <w:r>
          <w:rPr>
            <w:rFonts w:ascii="Times New Roman" w:hAnsi="Times New Roman"/>
            <w:b w:val="false"/>
            <w:i/>
            <w:color w:val="000000"/>
            <w:sz w:val="22"/>
          </w:rPr>
          <w:t>“f”</w:t>
        </w:r>
        <w:r>
          <w:rPr>
            <w:rFonts w:ascii="Times New Roman" w:hAnsi="Times New Roman"/>
            <w:b w:val="false"/>
            <w:i w:val="false"/>
            <w:color w:val="000000"/>
            <w:sz w:val="22"/>
          </w:rPr>
          <w:t>(2)</w:t>
        </w:r>
      </w:hyperlink>
      <w:r>
        <w:rPr>
          <w:rFonts w:ascii="Times New Roman" w:hAnsi="Times New Roman"/>
          <w:b w:val="false"/>
          <w:i w:val="false"/>
          <w:color w:val="000000"/>
          <w:sz w:val="22"/>
        </w:rPr>
        <w:t xml:space="preserve"> and may include subsequent applications, if necessary, that relate to the time period or dates indicated on the authorization.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Does not indicate the time period or dates it is to cover, the authorization will be valid until the applicant, member, or responsible person modifies the authorization and notifies the department that the representative is no longer authorized to act on behalf of the applicant or member or until the authorized representative informs the department that the representative no longer is acting in such capacity. Such notice must be in writing and should include the signature of the applicant, member, responsible person, or authorized representative, as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Copies of all correspondence will be provided to the applicant or member and the authorized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76.9(3)</w:t>
      </w:r>
      <w:r>
        <w:rPr>
          <w:rFonts w:ascii="Times New Roman" w:hAnsi="Times New Roman"/>
          <w:b w:val="false"/>
          <w:i w:val="false"/>
          <w:color w:val="000000"/>
          <w:sz w:val="22"/>
        </w:rPr>
        <w:t> </w:t>
      </w:r>
      <w:r>
        <w:rPr>
          <w:rFonts w:ascii="Times New Roman" w:hAnsi="Times New Roman"/>
          <w:b w:val="false"/>
          <w:i/>
          <w:color w:val="000000"/>
          <w:sz w:val="22"/>
        </w:rPr>
        <w:t xml:space="preserve">Additional requirements applicable to all authorized representatives and responsible persons.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authorized representative or responsible person must agree to maintain, or be legally bound to maintain, the confidentiality of any information regarding an applicant or member provided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provider or staff member or volunteer of an organization serving as an authorized representative or responsible person must sign an agreement that the provider, staff member, or volunteer will adhere to the regulations in </w:t>
      </w:r>
      <w:r>
        <w:rPr>
          <w:rFonts w:ascii="Times New Roman" w:hAnsi="Times New Roman"/>
          <w:b w:val="false"/>
          <w:i w:val="false"/>
          <w:color w:val="000000"/>
          <w:sz w:val="22"/>
        </w:rPr>
        <w:t>42 CFR Part 431</w:t>
      </w:r>
      <w:r>
        <w:rPr>
          <w:rFonts w:ascii="Times New Roman" w:hAnsi="Times New Roman"/>
          <w:b w:val="false"/>
          <w:i w:val="false"/>
          <w:color w:val="000000"/>
          <w:sz w:val="22"/>
        </w:rPr>
        <w:t xml:space="preserve">, Subpart F; </w:t>
      </w:r>
      <w:r>
        <w:rPr>
          <w:rFonts w:ascii="Times New Roman" w:hAnsi="Times New Roman"/>
          <w:b w:val="false"/>
          <w:i w:val="false"/>
          <w:color w:val="000000"/>
          <w:sz w:val="22"/>
        </w:rPr>
        <w:t>45 CFR §155.260(f)</w:t>
      </w:r>
      <w:r>
        <w:rPr>
          <w:rFonts w:ascii="Times New Roman" w:hAnsi="Times New Roman"/>
          <w:b w:val="false"/>
          <w:i w:val="false"/>
          <w:color w:val="000000"/>
          <w:sz w:val="22"/>
        </w:rPr>
        <w:t xml:space="preserve"> (relating to confidentiality of information); and </w:t>
      </w:r>
      <w:r>
        <w:rPr>
          <w:rFonts w:ascii="Times New Roman" w:hAnsi="Times New Roman"/>
          <w:b w:val="false"/>
          <w:i w:val="false"/>
          <w:color w:val="000000"/>
          <w:sz w:val="22"/>
        </w:rPr>
        <w:t>42 CFR §447.10</w:t>
      </w:r>
      <w:r>
        <w:rPr>
          <w:rFonts w:ascii="Times New Roman" w:hAnsi="Times New Roman"/>
          <w:b w:val="false"/>
          <w:i w:val="false"/>
          <w:color w:val="000000"/>
          <w:sz w:val="22"/>
        </w:rPr>
        <w:t xml:space="preserve"> (relating to the prohibition against reassignment of provider claims as appropriate for a health facility or an organization acting on the facility’s behalf), as well as other relevant state and federal laws concerning conflicts of interest and confidentiality of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authorized representative or responsible person is responsible for fulfilling all responsibilities encompassed within the scope of the authorized representation to the same extent as the individual the authorized representative or responsible person represents.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9702C</w:t>
      </w:r>
      <w:r>
        <w:rPr>
          <w:rFonts w:ascii="Times New Roman" w:hAnsi="Times New Roman"/>
          <w:b w:val="false"/>
          <w:i w:val="false"/>
          <w:color w:val="000000"/>
          <w:sz w:val="16"/>
        </w:rPr>
        <w:t>, IAB 11/12/25,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441—76.10</w:t>
      </w:r>
      <w:r>
        <w:rPr>
          <w:rFonts w:ascii="Times New Roman" w:hAnsi="Times New Roman"/>
          <w:b/>
          <w:i w:val="false"/>
          <w:color w:val="000000"/>
          <w:sz w:val="22"/>
        </w:rPr>
        <w:t xml:space="preserve">(249A) </w:t>
      </w:r>
      <w:r>
        <w:rPr>
          <w:rFonts w:ascii="Times New Roman" w:hAnsi="Times New Roman"/>
          <w:b/>
          <w:i w:val="false"/>
          <w:color w:val="000000"/>
          <w:sz w:val="22"/>
        </w:rPr>
        <w:t xml:space="preserve">Right to withdraw the application. </w:t>
      </w:r>
      <w:r>
        <w:rPr>
          <w:rFonts w:ascii="Times New Roman" w:hAnsi="Times New Roman"/>
          <w:b w:val="false"/>
          <w:i w:val="false"/>
          <w:color w:val="000000"/>
          <w:sz w:val="22"/>
        </w:rPr>
        <w:t xml:space="preserve">The applicant may withdraw the application at any time before the eligibility determination has been made. The applicant may request that the application be withdrawn entirely or request withdrawal for any month covered by the application process except as provided in the medically needy program in accordance with the provisions of rule </w:t>
      </w:r>
      <w:hyperlink r:id="rId45">
        <w:r>
          <w:rPr>
            <w:rStyle w:val="Hyperlink"/>
            <w:rFonts w:ascii="Times New Roman" w:hAnsi="Times New Roman"/>
            <w:b w:val="false"/>
            <w:i w:val="false"/>
            <w:color w:val="000000"/>
            <w:sz w:val="22"/>
          </w:rPr>
          <w:t>441—75.8</w:t>
        </w:r>
      </w:hyperlink>
      <w:r>
        <w:rPr>
          <w:rFonts w:ascii="Times New Roman" w:hAnsi="Times New Roman"/>
          <w:b w:val="false"/>
          <w:i w:val="false"/>
          <w:color w:val="000000"/>
          <w:sz w:val="22"/>
        </w:rPr>
        <w:t>(249A).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9702C</w:t>
      </w:r>
      <w:r>
        <w:rPr>
          <w:rFonts w:ascii="Times New Roman" w:hAnsi="Times New Roman"/>
          <w:b w:val="false"/>
          <w:i w:val="false"/>
          <w:color w:val="000000"/>
          <w:sz w:val="16"/>
        </w:rPr>
        <w:t>, IAB 11/12/25,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441—76.11</w:t>
      </w:r>
      <w:r>
        <w:rPr>
          <w:rFonts w:ascii="Times New Roman" w:hAnsi="Times New Roman"/>
          <w:b/>
          <w:i w:val="false"/>
          <w:color w:val="000000"/>
          <w:sz w:val="22"/>
        </w:rPr>
        <w:t xml:space="preserve">(249A) </w:t>
      </w:r>
      <w:r>
        <w:rPr>
          <w:rFonts w:ascii="Times New Roman" w:hAnsi="Times New Roman"/>
          <w:b/>
          <w:i w:val="false"/>
          <w:color w:val="000000"/>
          <w:sz w:val="22"/>
        </w:rPr>
        <w:t xml:space="preserve">Choice of electronic notifications. </w:t>
      </w:r>
      <w:r>
        <w:rPr>
          <w:rFonts w:ascii="Times New Roman" w:hAnsi="Times New Roman"/>
          <w:b w:val="false"/>
          <w:i w:val="false"/>
          <w:color w:val="000000"/>
          <w:sz w:val="22"/>
        </w:rPr>
        <w:t>The applicant is responsible to indicate whether notices and other communications are to be provided by the department in an electronic format through the individual’s electronic account rather than by regular mail. The applicant may change the selection at any time. Notices and other communications provided through the individual’s electronic account are deemed to be received upon the sending of an email to the individual notifying the individual of the notice or other communication.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9702C</w:t>
      </w:r>
      <w:r>
        <w:rPr>
          <w:rFonts w:ascii="Times New Roman" w:hAnsi="Times New Roman"/>
          <w:b w:val="false"/>
          <w:i w:val="false"/>
          <w:color w:val="000000"/>
          <w:sz w:val="16"/>
        </w:rPr>
        <w:t>, IAB 11/12/25,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441—76.12</w:t>
      </w:r>
      <w:r>
        <w:rPr>
          <w:rFonts w:ascii="Times New Roman" w:hAnsi="Times New Roman"/>
          <w:b/>
          <w:i w:val="false"/>
          <w:color w:val="000000"/>
          <w:sz w:val="22"/>
        </w:rPr>
        <w:t xml:space="preserve">(249A) </w:t>
      </w:r>
      <w:r>
        <w:rPr>
          <w:rFonts w:ascii="Times New Roman" w:hAnsi="Times New Roman"/>
          <w:b/>
          <w:i w:val="false"/>
          <w:color w:val="000000"/>
          <w:sz w:val="22"/>
        </w:rPr>
        <w:t xml:space="preserve">Application not required.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76.12(1)</w:t>
      </w:r>
      <w:r>
        <w:rPr>
          <w:rFonts w:ascii="Times New Roman" w:hAnsi="Times New Roman"/>
          <w:b w:val="false"/>
          <w:i w:val="false"/>
          <w:color w:val="000000"/>
          <w:sz w:val="22"/>
        </w:rPr>
        <w:t> </w:t>
      </w:r>
      <w:r>
        <w:rPr>
          <w:rFonts w:ascii="Times New Roman" w:hAnsi="Times New Roman"/>
          <w:b w:val="false"/>
          <w:i/>
          <w:color w:val="000000"/>
          <w:sz w:val="22"/>
        </w:rPr>
        <w:t xml:space="preserve">Adding a new person.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Adding an eligible person. </w:t>
      </w:r>
      <w:r>
        <w:rPr>
          <w:rFonts w:ascii="Times New Roman" w:hAnsi="Times New Roman"/>
          <w:b w:val="false"/>
          <w:i w:val="false"/>
          <w:color w:val="000000"/>
          <w:sz w:val="22"/>
        </w:rPr>
        <w:t>For members whose eligibility is based on the MAGI methodology, a new application is not required when an eligible person is added to an existing Medicaid household. Such a person is considered to be included in the application that established eligibility for the existing household. However, in these instances, the date of application to add a person is the date the change is reported. When it is reported that a person is anticipated to enter the home, the date of application to add the person shall be no earlier than the date the person begins to live in the household or the date of report, whichever is later.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Adding a person previously ineligible due to a failure to cooperate. </w:t>
      </w:r>
      <w:r>
        <w:rPr>
          <w:rFonts w:ascii="Times New Roman" w:hAnsi="Times New Roman"/>
          <w:b w:val="false"/>
          <w:i w:val="false"/>
          <w:color w:val="000000"/>
          <w:sz w:val="22"/>
        </w:rPr>
        <w:t xml:space="preserve">In those instances where a person previously ineligible for Medicaid for failure to cooperate in obtaining medical support or establishing liability for support as described in </w:t>
      </w:r>
      <w:hyperlink r:id="rId46">
        <w:r>
          <w:rPr>
            <w:rStyle w:val="Hyperlink"/>
            <w:rFonts w:ascii="Times New Roman" w:hAnsi="Times New Roman"/>
            <w:b w:val="false"/>
            <w:i w:val="false"/>
            <w:color w:val="000000"/>
            <w:sz w:val="22"/>
          </w:rPr>
          <w:t>441—subrule 75.14(2)</w:t>
        </w:r>
      </w:hyperlink>
      <w:r>
        <w:rPr>
          <w:rFonts w:ascii="Times New Roman" w:hAnsi="Times New Roman"/>
          <w:b w:val="false"/>
          <w:i w:val="false"/>
          <w:color w:val="000000"/>
          <w:sz w:val="22"/>
        </w:rPr>
        <w:t xml:space="preserve"> is to be granted Medicaid benefits, the earliest month for which that person may be eligible for coverage is the month that the person takes action(s) to meet the cooperation requirements described in </w:t>
      </w:r>
      <w:hyperlink r:id="rId47">
        <w:r>
          <w:rPr>
            <w:rStyle w:val="Hyperlink"/>
            <w:rFonts w:ascii="Times New Roman" w:hAnsi="Times New Roman"/>
            <w:b w:val="false"/>
            <w:i w:val="false"/>
            <w:color w:val="000000"/>
            <w:sz w:val="22"/>
          </w:rPr>
          <w:t>441—subrule 75.14(1)</w:t>
        </w:r>
      </w:hyperlink>
      <w:r>
        <w:rPr>
          <w:rFonts w:ascii="Times New Roman" w:hAnsi="Times New Roman"/>
          <w:b w:val="false"/>
          <w:i w:val="false"/>
          <w:color w:val="000000"/>
          <w:sz w:val="22"/>
        </w:rPr>
        <w:t xml:space="preserve"> and as determined by child support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Adding a person previously ineligible due to failure to provide a social security number. </w:t>
      </w:r>
      <w:r>
        <w:rPr>
          <w:rFonts w:ascii="Times New Roman" w:hAnsi="Times New Roman"/>
          <w:b w:val="false"/>
          <w:i w:val="false"/>
          <w:color w:val="000000"/>
          <w:sz w:val="22"/>
        </w:rPr>
        <w:t xml:space="preserve">In those instances where a person previously ineligible for Medicaid for failure to provide a social security number or proof of application for a social security number as described in rule </w:t>
      </w:r>
      <w:hyperlink r:id="rId48">
        <w:r>
          <w:rPr>
            <w:rStyle w:val="Hyperlink"/>
            <w:rFonts w:ascii="Times New Roman" w:hAnsi="Times New Roman"/>
            <w:b w:val="false"/>
            <w:i w:val="false"/>
            <w:color w:val="000000"/>
            <w:sz w:val="22"/>
          </w:rPr>
          <w:t>441—75.9</w:t>
        </w:r>
      </w:hyperlink>
      <w:r>
        <w:rPr>
          <w:rFonts w:ascii="Times New Roman" w:hAnsi="Times New Roman"/>
          <w:b w:val="false"/>
          <w:i w:val="false"/>
          <w:color w:val="000000"/>
          <w:sz w:val="22"/>
        </w:rPr>
        <w:t>(249A) is to be granted Medicaid benefits, the person will be granted Medicaid benefits effective the first of the month in which the person becomes eligible by providing a social security number.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76.12(2)</w:t>
      </w:r>
      <w:r>
        <w:rPr>
          <w:rFonts w:ascii="Times New Roman" w:hAnsi="Times New Roman"/>
          <w:b w:val="false"/>
          <w:i w:val="false"/>
          <w:color w:val="000000"/>
          <w:sz w:val="22"/>
        </w:rPr>
        <w:t> </w:t>
      </w:r>
      <w:r>
        <w:rPr>
          <w:rFonts w:ascii="Times New Roman" w:hAnsi="Times New Roman"/>
          <w:b w:val="false"/>
          <w:i/>
          <w:color w:val="000000"/>
          <w:sz w:val="22"/>
        </w:rPr>
        <w:t xml:space="preserve">Loss of hawki eligibility. </w:t>
      </w:r>
      <w:r>
        <w:rPr>
          <w:rFonts w:ascii="Times New Roman" w:hAnsi="Times New Roman"/>
          <w:b w:val="false"/>
          <w:i w:val="false"/>
          <w:color w:val="000000"/>
          <w:sz w:val="22"/>
        </w:rPr>
        <w:t>In those instances where a child loses hawki eligibility and has been determined eligible for Medicaid, with no break in coverage, an application for Medicaid is not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76.12(3)</w:t>
      </w:r>
      <w:r>
        <w:rPr>
          <w:rFonts w:ascii="Times New Roman" w:hAnsi="Times New Roman"/>
          <w:b w:val="false"/>
          <w:i w:val="false"/>
          <w:color w:val="000000"/>
          <w:sz w:val="22"/>
        </w:rPr>
        <w:t> </w:t>
      </w:r>
      <w:r>
        <w:rPr>
          <w:rFonts w:ascii="Times New Roman" w:hAnsi="Times New Roman"/>
          <w:b w:val="false"/>
          <w:i/>
          <w:color w:val="000000"/>
          <w:sz w:val="22"/>
        </w:rPr>
        <w:t xml:space="preserve">Grace period.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At application. </w:t>
      </w:r>
      <w:r>
        <w:rPr>
          <w:rFonts w:ascii="Times New Roman" w:hAnsi="Times New Roman"/>
          <w:b w:val="false"/>
          <w:i w:val="false"/>
          <w:color w:val="000000"/>
          <w:sz w:val="22"/>
        </w:rPr>
        <w:t>If benefits are denied for failure to provide requested information or verification and the information or verification is provided within 14 calendar days of the effective date of the denial, the department will complete the eligibility determination as though the information were timely received. If the fourteenth calendar day falls on a weekend or state holiday, the applicant shall have until the end of business hours on the next business day to provide the information. The grace period does not apply to late payment of premiums or noncooperation 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At reinstatement after cancellation (including cancellation at the time of reenrollment). </w:t>
      </w:r>
      <w:r>
        <w:rPr>
          <w:rFonts w:ascii="Times New Roman" w:hAnsi="Times New Roman"/>
          <w:b w:val="false"/>
          <w:i w:val="false"/>
          <w:color w:val="000000"/>
          <w:sz w:val="22"/>
        </w:rPr>
        <w:t>Eligibility for Medicaid may be reinstated without a new application when all information necessary to establish eligibility, including verification of any changes, is provided within 14 calendar days of the effective date of the cancellation. If the fourteenth calendar day falls on a weekend or state holiday, the member shall have until the end of business hours on the next business day to provide the information. The grace period does not apply to late payment of premiums or noncooperation actions.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9702C</w:t>
      </w:r>
      <w:r>
        <w:rPr>
          <w:rFonts w:ascii="Times New Roman" w:hAnsi="Times New Roman"/>
          <w:b w:val="false"/>
          <w:i w:val="false"/>
          <w:color w:val="000000"/>
          <w:sz w:val="16"/>
        </w:rPr>
        <w:t>, IAB 11/12/25,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441—76.13</w:t>
      </w:r>
      <w:r>
        <w:rPr>
          <w:rFonts w:ascii="Times New Roman" w:hAnsi="Times New Roman"/>
          <w:b/>
          <w:i w:val="false"/>
          <w:color w:val="000000"/>
          <w:sz w:val="22"/>
        </w:rPr>
        <w:t xml:space="preserve">(249A) </w:t>
      </w:r>
      <w:r>
        <w:rPr>
          <w:rFonts w:ascii="Times New Roman" w:hAnsi="Times New Roman"/>
          <w:b/>
          <w:i w:val="false"/>
          <w:color w:val="000000"/>
          <w:sz w:val="22"/>
        </w:rPr>
        <w:t xml:space="preserve">Initial enrollment.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76.13(1)</w:t>
      </w:r>
      <w:r>
        <w:rPr>
          <w:rFonts w:ascii="Times New Roman" w:hAnsi="Times New Roman"/>
          <w:b w:val="false"/>
          <w:i w:val="false"/>
          <w:color w:val="000000"/>
          <w:sz w:val="22"/>
        </w:rPr>
        <w:t> </w:t>
      </w:r>
      <w:r>
        <w:rPr>
          <w:rFonts w:ascii="Times New Roman" w:hAnsi="Times New Roman"/>
          <w:b w:val="false"/>
          <w:i/>
          <w:color w:val="000000"/>
          <w:sz w:val="22"/>
        </w:rPr>
        <w:t xml:space="preserve">Enrollment date. </w:t>
      </w:r>
      <w:r>
        <w:rPr>
          <w:rFonts w:ascii="Times New Roman" w:hAnsi="Times New Roman"/>
          <w:b w:val="false"/>
          <w:i w:val="false"/>
          <w:color w:val="000000"/>
          <w:sz w:val="22"/>
        </w:rPr>
        <w:t>The department will enroll applicants who have been determined to be eligible in the Medicaid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First day of the month. </w:t>
      </w:r>
      <w:r>
        <w:rPr>
          <w:rFonts w:ascii="Times New Roman" w:hAnsi="Times New Roman"/>
          <w:b w:val="false"/>
          <w:i w:val="false"/>
          <w:color w:val="000000"/>
          <w:sz w:val="22"/>
        </w:rPr>
        <w:t xml:space="preserve">The effective date of enrollment is the first day of the month that the application was filed or the first day of the first month for which eligibility has been determined, whichever is later, with the following exceptions: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Presumptive eligibility is effective on the date that presumptive eligibility was determined by a qualified entity for presumptive Medicaid eligibility determinations pursuant to subrule </w:t>
      </w:r>
      <w:hyperlink r:id="rId49">
        <w:r>
          <w:rPr>
            <w:rStyle w:val="Hyperlink"/>
            <w:rFonts w:ascii="Times New Roman" w:hAnsi="Times New Roman"/>
            <w:b w:val="false"/>
            <w:i w:val="false"/>
            <w:color w:val="000000"/>
            <w:sz w:val="22"/>
          </w:rPr>
          <w:t>76.7(5)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Eligibility under the qualified Medicare beneficiary coverage group described in </w:t>
      </w:r>
      <w:hyperlink r:id="rId50">
        <w:r>
          <w:rPr>
            <w:rStyle w:val="Hyperlink"/>
            <w:rFonts w:ascii="Times New Roman" w:hAnsi="Times New Roman"/>
            <w:b w:val="false"/>
            <w:i w:val="false"/>
            <w:color w:val="000000"/>
            <w:sz w:val="22"/>
          </w:rPr>
          <w:t>441—paragraph 75.6(5)</w:t>
        </w:r>
        <w:r>
          <w:rPr>
            <w:rFonts w:ascii="Times New Roman" w:hAnsi="Times New Roman"/>
            <w:b w:val="false"/>
            <w:i/>
            <w:color w:val="000000"/>
            <w:sz w:val="22"/>
          </w:rPr>
          <w:t>“a”</w:t>
        </w:r>
      </w:hyperlink>
      <w:r>
        <w:rPr>
          <w:rFonts w:ascii="Times New Roman" w:hAnsi="Times New Roman"/>
          <w:b w:val="false"/>
          <w:i w:val="false"/>
          <w:color w:val="000000"/>
          <w:sz w:val="22"/>
        </w:rPr>
        <w:t xml:space="preserve"> begins on the first day of the month after the month of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 individuals who are approved for Medicaid and who are eligible for SSI, programs related to SSI, or state supplementary assistance, Medicaid benefits will be effective on the first day of the month for which the individual meets all eligibility requirements, including resource eligibility, as of the first moment of the first day of the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enrollment date for retroactive Medicaid eligibility is determined pursuant to subrule </w:t>
      </w:r>
      <w:hyperlink r:id="rId51">
        <w:r>
          <w:rPr>
            <w:rStyle w:val="Hyperlink"/>
            <w:rFonts w:ascii="Times New Roman" w:hAnsi="Times New Roman"/>
            <w:b w:val="false"/>
            <w:i w:val="false"/>
            <w:color w:val="000000"/>
            <w:sz w:val="22"/>
          </w:rPr>
          <w:t>76.13(3)</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Care or services prior to enrollment. </w:t>
      </w:r>
      <w:r>
        <w:rPr>
          <w:rFonts w:ascii="Times New Roman" w:hAnsi="Times New Roman"/>
          <w:b w:val="false"/>
          <w:i w:val="false"/>
          <w:color w:val="000000"/>
          <w:sz w:val="22"/>
        </w:rPr>
        <w:t>No payment will be made for medical care or services received prior to the effective date of enrollment.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76.13(2)</w:t>
      </w:r>
      <w:r>
        <w:rPr>
          <w:rFonts w:ascii="Times New Roman" w:hAnsi="Times New Roman"/>
          <w:b w:val="false"/>
          <w:i w:val="false"/>
          <w:color w:val="000000"/>
          <w:sz w:val="22"/>
        </w:rPr>
        <w:t> </w:t>
      </w:r>
      <w:r>
        <w:rPr>
          <w:rFonts w:ascii="Times New Roman" w:hAnsi="Times New Roman"/>
          <w:b w:val="false"/>
          <w:i/>
          <w:color w:val="000000"/>
          <w:sz w:val="22"/>
        </w:rPr>
        <w:t xml:space="preserve">Certification for services. </w:t>
      </w:r>
      <w:r>
        <w:rPr>
          <w:rFonts w:ascii="Times New Roman" w:hAnsi="Times New Roman"/>
          <w:b w:val="false"/>
          <w:i w:val="false"/>
          <w:color w:val="000000"/>
          <w:sz w:val="22"/>
        </w:rPr>
        <w:t>The department will issue a medical assistance eligibility card to persons who have been determined to be eligible for the benefits provided under the Medicaid program, with the following exceptions.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Presumptive eligibility. </w:t>
      </w:r>
      <w:r>
        <w:rPr>
          <w:rFonts w:ascii="Times New Roman" w:hAnsi="Times New Roman"/>
          <w:b w:val="false"/>
          <w:i w:val="false"/>
          <w:color w:val="000000"/>
          <w:sz w:val="22"/>
        </w:rPr>
        <w:t>A person who has been determined only presumptively eligible will be issued a Presumptive Medicaid Eligibility Notice of Action form that will include certification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Emergency Medicaid for noncitizens. </w:t>
      </w:r>
      <w:r>
        <w:rPr>
          <w:rFonts w:ascii="Times New Roman" w:hAnsi="Times New Roman"/>
          <w:b w:val="false"/>
          <w:i w:val="false"/>
          <w:color w:val="000000"/>
          <w:sz w:val="22"/>
        </w:rPr>
        <w:t xml:space="preserve">An individual who is eligible only for limited emergency Medicaid for noncitizens pursuant to </w:t>
      </w:r>
      <w:hyperlink r:id="rId52">
        <w:r>
          <w:rPr>
            <w:rStyle w:val="Hyperlink"/>
            <w:rFonts w:ascii="Times New Roman" w:hAnsi="Times New Roman"/>
            <w:b w:val="false"/>
            <w:i w:val="false"/>
            <w:color w:val="000000"/>
            <w:sz w:val="22"/>
          </w:rPr>
          <w:t>441—subrule 75.11(4)</w:t>
        </w:r>
      </w:hyperlink>
      <w:r>
        <w:rPr>
          <w:rFonts w:ascii="Times New Roman" w:hAnsi="Times New Roman"/>
          <w:b w:val="false"/>
          <w:i w:val="false"/>
          <w:color w:val="000000"/>
          <w:sz w:val="22"/>
        </w:rPr>
        <w:t xml:space="preserve"> will be issued a Notice of Action that will include certification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76.13(3)</w:t>
      </w:r>
      <w:r>
        <w:rPr>
          <w:rFonts w:ascii="Times New Roman" w:hAnsi="Times New Roman"/>
          <w:b w:val="false"/>
          <w:i w:val="false"/>
          <w:color w:val="000000"/>
          <w:sz w:val="22"/>
        </w:rPr>
        <w:t> </w:t>
      </w:r>
      <w:r>
        <w:rPr>
          <w:rFonts w:ascii="Times New Roman" w:hAnsi="Times New Roman"/>
          <w:b w:val="false"/>
          <w:i/>
          <w:color w:val="000000"/>
          <w:sz w:val="22"/>
        </w:rPr>
        <w:t xml:space="preserve">Retroactive enrollment. </w:t>
      </w:r>
      <w:r>
        <w:rPr>
          <w:rFonts w:ascii="Times New Roman" w:hAnsi="Times New Roman"/>
          <w:b w:val="false"/>
          <w:i w:val="false"/>
          <w:color w:val="000000"/>
          <w:sz w:val="22"/>
        </w:rPr>
        <w:t xml:space="preserve">Medical assistance will be available for all or any of the three months preceding the month in which an application is filed to persons who meet the requirements described within this subrule.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paragraph </w:t>
      </w:r>
      <w:hyperlink r:id="rId53">
        <w:r>
          <w:rPr>
            <w:rStyle w:val="Hyperlink"/>
            <w:rFonts w:ascii="Times New Roman" w:hAnsi="Times New Roman"/>
            <w:b w:val="false"/>
            <w:i w:val="false"/>
            <w:color w:val="000000"/>
            <w:sz w:val="22"/>
          </w:rPr>
          <w:t>76.13(3)</w:t>
        </w:r>
      </w:hyperlink>
      <w:r>
        <w:rPr>
          <w:rFonts w:ascii="Times New Roman" w:hAnsi="Times New Roman"/>
          <w:b w:val="false"/>
          <w:i/>
          <w:color w:val="000000"/>
          <w:sz w:val="22"/>
        </w:rPr>
        <w:t>“e,”</w:t>
      </w:r>
      <w:r>
        <w:rPr>
          <w:rFonts w:ascii="Times New Roman" w:hAnsi="Times New Roman"/>
          <w:b w:val="false"/>
          <w:i w:val="false"/>
          <w:color w:val="000000"/>
          <w:sz w:val="22"/>
        </w:rPr>
        <w:t xml:space="preserve"> retroactive medical assistance will be available for the months a person was pregnant, an infant (under the age of 1), a child under 19 years of age, or a resident of a nursing facility licensed under Iowa Code chapter </w:t>
      </w:r>
      <w:hyperlink r:id="rId54">
        <w:r>
          <w:rPr>
            <w:rStyle w:val="Hyperlink"/>
            <w:rFonts w:ascii="Times New Roman" w:hAnsi="Times New Roman"/>
            <w:b w:val="false"/>
            <w:i w:val="false"/>
            <w:color w:val="000000"/>
            <w:sz w:val="22"/>
          </w:rPr>
          <w:t>135C</w:t>
        </w:r>
      </w:hyperlink>
      <w:r>
        <w:rPr>
          <w:rFonts w:ascii="Times New Roman" w:hAnsi="Times New Roman"/>
          <w:b w:val="false"/>
          <w:i w:val="false"/>
          <w:color w:val="000000"/>
          <w:sz w:val="22"/>
        </w:rPr>
        <w:t xml:space="preserve"> during any of the three months preceding the month in which an application is filed and who also meets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Has medical bills for covered care or services received during the three-month retroactive period;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Would have been eligible for medical assistance in the month services were received if the application for medical assistance had been made in that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applicant need not be eligible in the month of application to be eligible in any of the three months prior to the month of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Retroactive medical assistance will be made available when an application has been made on behalf of a deceased person if the conditions in paragraph </w:t>
      </w:r>
      <w:hyperlink r:id="rId55">
        <w:r>
          <w:rPr>
            <w:rStyle w:val="Hyperlink"/>
            <w:rFonts w:ascii="Times New Roman" w:hAnsi="Times New Roman"/>
            <w:b w:val="false"/>
            <w:i w:val="false"/>
            <w:color w:val="000000"/>
            <w:sz w:val="22"/>
          </w:rPr>
          <w:t>76.13(3)</w:t>
        </w:r>
      </w:hyperlink>
      <w:r>
        <w:rPr>
          <w:rFonts w:ascii="Times New Roman" w:hAnsi="Times New Roman"/>
          <w:b w:val="false"/>
          <w:i/>
          <w:color w:val="000000"/>
          <w:sz w:val="22"/>
        </w:rPr>
        <w:t>“a”</w:t>
      </w:r>
      <w:r>
        <w:rPr>
          <w:rFonts w:ascii="Times New Roman" w:hAnsi="Times New Roman"/>
          <w:b w:val="false"/>
          <w:i w:val="false"/>
          <w:color w:val="000000"/>
          <w:sz w:val="22"/>
        </w:rPr>
        <w:t xml:space="preserve">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Persons enrolled in Medicaid based on receipt of SSI benefits who wish to apply for Medicaid benefits for the three months preceding the month of application shall complete a form provided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Exceptions to retroactive enrollment. This subrule does not apply to the following persons who are otherwise eligible for retroactive enrollment: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Persons whose citizenship status has not been verified even if they are eligible during a 90-day reasonable opportunity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Persons determined eligible only under presumptive Medicaid benefits.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Persons eligible for Medicaid only under the qualified Medicare beneficiary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Persons eligible only under the home- and community-based waiver services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9702C</w:t>
      </w:r>
      <w:r>
        <w:rPr>
          <w:rFonts w:ascii="Times New Roman" w:hAnsi="Times New Roman"/>
          <w:b w:val="false"/>
          <w:i w:val="false"/>
          <w:color w:val="000000"/>
          <w:sz w:val="16"/>
        </w:rPr>
        <w:t>, IAB 11/12/25,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441—76.14</w:t>
      </w:r>
      <w:r>
        <w:rPr>
          <w:rFonts w:ascii="Times New Roman" w:hAnsi="Times New Roman"/>
          <w:b/>
          <w:i w:val="false"/>
          <w:color w:val="000000"/>
          <w:sz w:val="22"/>
        </w:rPr>
        <w:t xml:space="preserve">(249A) </w:t>
      </w:r>
      <w:r>
        <w:rPr>
          <w:rFonts w:ascii="Times New Roman" w:hAnsi="Times New Roman"/>
          <w:b/>
          <w:i w:val="false"/>
          <w:color w:val="000000"/>
          <w:sz w:val="22"/>
        </w:rPr>
        <w:t xml:space="preserve">Reenrollment. </w:t>
      </w:r>
      <w:r>
        <w:rPr>
          <w:rFonts w:ascii="Times New Roman" w:hAnsi="Times New Roman"/>
          <w:b w:val="false"/>
          <w:i w:val="false"/>
          <w:color w:val="000000"/>
          <w:sz w:val="22"/>
        </w:rPr>
        <w:t xml:space="preserve">The department will review all conditions of eligibility for the purpose of determining continued enrollment in Medicaid pursuant to </w:t>
      </w:r>
      <w:hyperlink r:id="rId56">
        <w:r>
          <w:rPr>
            <w:rStyle w:val="Hyperlink"/>
            <w:rFonts w:ascii="Times New Roman" w:hAnsi="Times New Roman"/>
            <w:b w:val="false"/>
            <w:i w:val="false"/>
            <w:color w:val="000000"/>
            <w:sz w:val="22"/>
          </w:rPr>
          <w:t>441—Chapter 75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76.14(1)</w:t>
      </w:r>
      <w:r>
        <w:rPr>
          <w:rFonts w:ascii="Times New Roman" w:hAnsi="Times New Roman"/>
          <w:b w:val="false"/>
          <w:i w:val="false"/>
          <w:color w:val="000000"/>
          <w:sz w:val="22"/>
        </w:rPr>
        <w:t> </w:t>
      </w:r>
      <w:r>
        <w:rPr>
          <w:rFonts w:ascii="Times New Roman" w:hAnsi="Times New Roman"/>
          <w:b w:val="false"/>
          <w:i/>
          <w:color w:val="000000"/>
          <w:sz w:val="22"/>
        </w:rPr>
        <w:t xml:space="preserve">Reenrollment frequency.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will conduct eligibility reviews for members whose eligibility is based on the MAGI methodology once every 12 months and no more frequently than once every 12 months, except as provided by rule </w:t>
      </w:r>
      <w:hyperlink r:id="rId57">
        <w:r>
          <w:rPr>
            <w:rStyle w:val="Hyperlink"/>
            <w:rFonts w:ascii="Times New Roman" w:hAnsi="Times New Roman"/>
            <w:b w:val="false"/>
            <w:i w:val="false"/>
            <w:color w:val="000000"/>
            <w:sz w:val="22"/>
          </w:rPr>
          <w:t>441—76.15</w:t>
        </w:r>
      </w:hyperlink>
      <w:r>
        <w:rPr>
          <w:rFonts w:ascii="Times New Roman" w:hAnsi="Times New Roman"/>
          <w:b w:val="false"/>
          <w:i w:val="false"/>
          <w:color w:val="000000"/>
          <w:sz w:val="22"/>
        </w:rPr>
        <w:t xml:space="preserve">(249A) and paragraph </w:t>
      </w:r>
      <w:hyperlink r:id="rId58">
        <w:r>
          <w:rPr>
            <w:rStyle w:val="Hyperlink"/>
            <w:rFonts w:ascii="Times New Roman" w:hAnsi="Times New Roman"/>
            <w:b w:val="false"/>
            <w:i w:val="false"/>
            <w:color w:val="000000"/>
            <w:sz w:val="22"/>
          </w:rPr>
          <w:t>76.14(1)</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will conduct eligibility reviews for the following coverage groups as circumstances indicate but no more frequently than once every 12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Transitional Medicaid as described in </w:t>
      </w:r>
      <w:hyperlink r:id="rId59">
        <w:r>
          <w:rPr>
            <w:rStyle w:val="Hyperlink"/>
            <w:rFonts w:ascii="Times New Roman" w:hAnsi="Times New Roman"/>
            <w:b w:val="false"/>
            <w:i w:val="false"/>
            <w:color w:val="000000"/>
            <w:sz w:val="22"/>
          </w:rPr>
          <w:t>441—subrule 75.3(6)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Medicaid for former foster care youth (EMIYA) as described in </w:t>
      </w:r>
      <w:hyperlink r:id="rId60">
        <w:r>
          <w:rPr>
            <w:rStyle w:val="Hyperlink"/>
            <w:rFonts w:ascii="Times New Roman" w:hAnsi="Times New Roman"/>
            <w:b w:val="false"/>
            <w:i w:val="false"/>
            <w:color w:val="000000"/>
            <w:sz w:val="22"/>
          </w:rPr>
          <w:t>441—subrule 75.3(12)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Postpartum Medicaid as described in </w:t>
      </w:r>
      <w:hyperlink r:id="rId61">
        <w:r>
          <w:rPr>
            <w:rStyle w:val="Hyperlink"/>
            <w:rFonts w:ascii="Times New Roman" w:hAnsi="Times New Roman"/>
            <w:b w:val="false"/>
            <w:i w:val="false"/>
            <w:color w:val="000000"/>
            <w:sz w:val="22"/>
          </w:rPr>
          <w:t>441—subrule 75.3(4)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will conduct eligibility reviews for members whose eligibility is based on non-MAGI methodology once every 12 months and no more frequently than once every 12 months, except as provided in rule </w:t>
      </w:r>
      <w:hyperlink r:id="rId62">
        <w:r>
          <w:rPr>
            <w:rStyle w:val="Hyperlink"/>
            <w:rFonts w:ascii="Times New Roman" w:hAnsi="Times New Roman"/>
            <w:b w:val="false"/>
            <w:i w:val="false"/>
            <w:color w:val="000000"/>
            <w:sz w:val="22"/>
          </w:rPr>
          <w:t>441—76.15</w:t>
        </w:r>
      </w:hyperlink>
      <w:r>
        <w:rPr>
          <w:rFonts w:ascii="Times New Roman" w:hAnsi="Times New Roman"/>
          <w:b w:val="false"/>
          <w:i w:val="false"/>
          <w:color w:val="000000"/>
          <w:sz w:val="22"/>
        </w:rPr>
        <w:t xml:space="preserve">(249A) and paragraph </w:t>
      </w:r>
      <w:hyperlink r:id="rId63">
        <w:r>
          <w:rPr>
            <w:rStyle w:val="Hyperlink"/>
            <w:rFonts w:ascii="Times New Roman" w:hAnsi="Times New Roman"/>
            <w:b w:val="false"/>
            <w:i w:val="false"/>
            <w:color w:val="000000"/>
            <w:sz w:val="22"/>
          </w:rPr>
          <w:t>76.14(1)</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76.14(2)</w:t>
      </w:r>
      <w:r>
        <w:rPr>
          <w:rFonts w:ascii="Times New Roman" w:hAnsi="Times New Roman"/>
          <w:b w:val="false"/>
          <w:i w:val="false"/>
          <w:color w:val="000000"/>
          <w:sz w:val="22"/>
        </w:rPr>
        <w:t> </w:t>
      </w:r>
      <w:r>
        <w:rPr>
          <w:rFonts w:ascii="Times New Roman" w:hAnsi="Times New Roman"/>
          <w:b w:val="false"/>
          <w:i/>
          <w:color w:val="000000"/>
          <w:sz w:val="22"/>
        </w:rPr>
        <w:t xml:space="preserve">Reenrollment process.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Reenrollment procedure. </w:t>
      </w:r>
      <w:r>
        <w:rPr>
          <w:rFonts w:ascii="Times New Roman" w:hAnsi="Times New Roman"/>
          <w:b w:val="false"/>
          <w:i w:val="false"/>
          <w:color w:val="000000"/>
          <w:sz w:val="22"/>
        </w:rPr>
        <w:t xml:space="preserve">Reenrollment will be based on reliable information contained in the member’s electronic case record or other more current information available to the department, including but not limited to information through EDS. If the department is able to renew eligibility based on such information, the department must notify the individual of the eligibility determination and the basis of that determination. If any information in that notification form is inaccurate, the member must inform the department through any of the modes permitted for submission of an application under paragraph </w:t>
      </w:r>
      <w:hyperlink r:id="rId64">
        <w:r>
          <w:rPr>
            <w:rStyle w:val="Hyperlink"/>
            <w:rFonts w:ascii="Times New Roman" w:hAnsi="Times New Roman"/>
            <w:b w:val="false"/>
            <w:i w:val="false"/>
            <w:color w:val="000000"/>
            <w:sz w:val="22"/>
          </w:rPr>
          <w:t>76.2(1)</w:t>
        </w:r>
        <w:r>
          <w:rPr>
            <w:rFonts w:ascii="Times New Roman" w:hAnsi="Times New Roman"/>
            <w:b w:val="false"/>
            <w:i/>
            <w:color w:val="000000"/>
            <w:sz w:val="22"/>
          </w:rPr>
          <w:t>“b”</w:t>
        </w:r>
      </w:hyperlink>
      <w:r>
        <w:rPr>
          <w:rFonts w:ascii="Times New Roman" w:hAnsi="Times New Roman"/>
          <w:b w:val="false"/>
          <w:i w:val="false"/>
          <w:color w:val="000000"/>
          <w:sz w:val="22"/>
        </w:rPr>
        <w:t xml:space="preserve"> within 30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Members whose eligibility for Medicaid is based on the MAGI methodology. </w:t>
      </w:r>
      <w:r>
        <w:rPr>
          <w:rFonts w:ascii="Times New Roman" w:hAnsi="Times New Roman"/>
          <w:b w:val="false"/>
          <w:i w:val="false"/>
          <w:color w:val="000000"/>
          <w:sz w:val="22"/>
        </w:rPr>
        <w:t>If eligibility cannot be determined based on information in the member’s electronic case record or other more current information available to the department, including but not limited to information through EDS, the member will be provided with a prepopulated review form and will have at least 30 days from the date the review form is mailed to complete necessary information, sign, and return the completed review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Members whose eligibility for Medicaid is in non-MAGI related coverage groups. </w:t>
      </w:r>
      <w:r>
        <w:rPr>
          <w:rFonts w:ascii="Times New Roman" w:hAnsi="Times New Roman"/>
          <w:b w:val="false"/>
          <w:i w:val="false"/>
          <w:color w:val="000000"/>
          <w:sz w:val="22"/>
        </w:rPr>
        <w:t>If eligibility cannot be determined based on information in the member’s electronic case record or other more current information available to the department, including but not limited to information through EDS, the member will be provided with a prepopulated review form and will have at least 30 days from the date the review form is mailed to complete necessary information, sign, and return the completed review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Failure to reenroll. </w:t>
      </w:r>
      <w:r>
        <w:rPr>
          <w:rFonts w:ascii="Times New Roman" w:hAnsi="Times New Roman"/>
          <w:b w:val="false"/>
          <w:i w:val="false"/>
          <w:color w:val="000000"/>
          <w:sz w:val="22"/>
        </w:rPr>
        <w:t xml:space="preserve">Enrollment will end when information or documentation necessary to complete the determination of continued eligibility pursuant to subrules </w:t>
      </w:r>
      <w:hyperlink r:id="rId65">
        <w:r>
          <w:rPr>
            <w:rStyle w:val="Hyperlink"/>
            <w:rFonts w:ascii="Times New Roman" w:hAnsi="Times New Roman"/>
            <w:b w:val="false"/>
            <w:i w:val="false"/>
            <w:color w:val="000000"/>
            <w:sz w:val="22"/>
          </w:rPr>
          <w:t>76.8(2) through 76.8(4)</w:t>
        </w:r>
      </w:hyperlink>
      <w:r>
        <w:rPr>
          <w:rFonts w:ascii="Times New Roman" w:hAnsi="Times New Roman"/>
          <w:b w:val="false"/>
          <w:i w:val="false"/>
          <w:color w:val="000000"/>
          <w:sz w:val="22"/>
        </w:rPr>
        <w:t xml:space="preserve"> is not returned before the end of the enrollment period. The department will notify the member of the disenrollment pursuant to </w:t>
      </w:r>
      <w:hyperlink r:id="rId66">
        <w:r>
          <w:rPr>
            <w:rStyle w:val="Hyperlink"/>
            <w:rFonts w:ascii="Times New Roman" w:hAnsi="Times New Roman"/>
            <w:b w:val="false"/>
            <w:i w:val="false"/>
            <w:color w:val="000000"/>
            <w:sz w:val="22"/>
          </w:rPr>
          <w:t>441—Chapter 16</w:t>
        </w:r>
      </w:hyperlink>
      <w:r>
        <w:rPr>
          <w:rFonts w:ascii="Times New Roman" w:hAnsi="Times New Roman"/>
          <w:b w:val="false"/>
          <w:i w:val="false"/>
          <w:color w:val="000000"/>
          <w:sz w:val="22"/>
        </w:rPr>
        <w:t xml:space="preserve">. Individuals whose eligibility ends must reapply unless the individual satisfies the requirements of subrule </w:t>
      </w:r>
      <w:hyperlink r:id="rId67">
        <w:r>
          <w:rPr>
            <w:rStyle w:val="Hyperlink"/>
            <w:rFonts w:ascii="Times New Roman" w:hAnsi="Times New Roman"/>
            <w:b w:val="false"/>
            <w:i w:val="false"/>
            <w:color w:val="000000"/>
            <w:sz w:val="22"/>
          </w:rPr>
          <w:t>76.12(3)</w:t>
        </w:r>
      </w:hyperlink>
      <w:r>
        <w:rPr>
          <w:rFonts w:ascii="Times New Roman" w:hAnsi="Times New Roman"/>
          <w:b w:val="false"/>
          <w:i w:val="false"/>
          <w:color w:val="000000"/>
          <w:sz w:val="22"/>
        </w:rPr>
        <w:t xml:space="preserve"> or paragraph </w:t>
      </w:r>
      <w:hyperlink r:id="rId68">
        <w:r>
          <w:rPr>
            <w:rStyle w:val="Hyperlink"/>
            <w:rFonts w:ascii="Times New Roman" w:hAnsi="Times New Roman"/>
            <w:b w:val="false"/>
            <w:i w:val="false"/>
            <w:color w:val="000000"/>
            <w:sz w:val="22"/>
          </w:rPr>
          <w:t>76.14(2)</w:t>
        </w:r>
      </w:hyperlink>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Reconsideration period.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For all coverage groups, except those specified  in subparagraph </w:t>
      </w:r>
      <w:hyperlink r:id="rId69">
        <w:r>
          <w:rPr>
            <w:rStyle w:val="Hyperlink"/>
            <w:rFonts w:ascii="Times New Roman" w:hAnsi="Times New Roman"/>
            <w:b w:val="false"/>
            <w:i w:val="false"/>
            <w:color w:val="000000"/>
            <w:sz w:val="22"/>
          </w:rPr>
          <w:t>76.14(2)</w:t>
        </w:r>
      </w:hyperlink>
      <w:r>
        <w:rPr>
          <w:rFonts w:ascii="Times New Roman" w:hAnsi="Times New Roman"/>
          <w:b w:val="false"/>
          <w:i/>
          <w:color w:val="000000"/>
          <w:sz w:val="22"/>
        </w:rPr>
        <w:t>“e”</w:t>
      </w:r>
      <w:r>
        <w:rPr>
          <w:rFonts w:ascii="Times New Roman" w:hAnsi="Times New Roman"/>
          <w:b w:val="false"/>
          <w:i w:val="false"/>
          <w:color w:val="000000"/>
          <w:sz w:val="22"/>
        </w:rPr>
        <w:t xml:space="preserve">(2), the department will reconsider the eligibility of an individual who is terminated for failure to submit the applicable review form as described in paragraph </w:t>
      </w:r>
      <w:hyperlink r:id="rId70">
        <w:r>
          <w:rPr>
            <w:rStyle w:val="Hyperlink"/>
            <w:rFonts w:ascii="Times New Roman" w:hAnsi="Times New Roman"/>
            <w:b w:val="false"/>
            <w:i w:val="false"/>
            <w:color w:val="000000"/>
            <w:sz w:val="22"/>
          </w:rPr>
          <w:t>76.14(2)</w:t>
        </w:r>
      </w:hyperlink>
      <w:r>
        <w:rPr>
          <w:rFonts w:ascii="Times New Roman" w:hAnsi="Times New Roman"/>
          <w:b w:val="false"/>
          <w:i/>
          <w:color w:val="000000"/>
          <w:sz w:val="22"/>
        </w:rPr>
        <w:t>“b”</w:t>
      </w:r>
      <w:r>
        <w:rPr>
          <w:rFonts w:ascii="Times New Roman" w:hAnsi="Times New Roman"/>
          <w:b w:val="false"/>
          <w:i w:val="false"/>
          <w:color w:val="000000"/>
          <w:sz w:val="22"/>
        </w:rPr>
        <w:t xml:space="preserve"> or </w:t>
      </w:r>
      <w:r>
        <w:rPr>
          <w:rFonts w:ascii="Times New Roman" w:hAnsi="Times New Roman"/>
          <w:b w:val="false"/>
          <w:i/>
          <w:color w:val="000000"/>
          <w:sz w:val="22"/>
        </w:rPr>
        <w:t>“c”</w:t>
      </w:r>
      <w:r>
        <w:rPr>
          <w:rFonts w:ascii="Times New Roman" w:hAnsi="Times New Roman"/>
          <w:b w:val="false"/>
          <w:i w:val="false"/>
          <w:color w:val="000000"/>
          <w:sz w:val="22"/>
        </w:rPr>
        <w:t xml:space="preserve"> or for failure to provide necessary information  in a timely manner and without requiring an application if the individual subsequently submits a review form within 90 days after the effective date of termination. The department will also reconsider eligibility as described in this subparagraph if the member provides an application form. If the ninetieth calendar day falls on a weekend or state holiday, the member shall have until the end of business hours on the next business day to provide the review form. The eligibility effective date will go back to the first day of the first month of ineligibility only if all other eligibility criteria are met for that month. Eligibility for subsequent months within the reconsideration period can still be determined even if the applicant remains ineligible for the initial reconsideration month(s), but eligibility will not be granted any earlier than the month in which all eligibility criteria are met.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For qualified Medicare beneficiaries (QMB), the provisions in subparagraph </w:t>
      </w:r>
      <w:hyperlink r:id="rId71">
        <w:r>
          <w:rPr>
            <w:rStyle w:val="Hyperlink"/>
            <w:rFonts w:ascii="Times New Roman" w:hAnsi="Times New Roman"/>
            <w:b w:val="false"/>
            <w:i w:val="false"/>
            <w:color w:val="000000"/>
            <w:sz w:val="22"/>
          </w:rPr>
          <w:t>76.14(2)</w:t>
        </w:r>
      </w:hyperlink>
      <w:r>
        <w:rPr>
          <w:rFonts w:ascii="Times New Roman" w:hAnsi="Times New Roman"/>
          <w:b w:val="false"/>
          <w:i/>
          <w:color w:val="000000"/>
          <w:sz w:val="22"/>
        </w:rPr>
        <w:t>“e”</w:t>
      </w:r>
      <w:r>
        <w:rPr>
          <w:rFonts w:ascii="Times New Roman" w:hAnsi="Times New Roman"/>
          <w:b w:val="false"/>
          <w:i w:val="false"/>
          <w:color w:val="000000"/>
          <w:sz w:val="22"/>
        </w:rPr>
        <w:t xml:space="preserve">(1) apply, except that the review form as described at lettered paragraph </w:t>
      </w:r>
      <w:hyperlink r:id="rId72">
        <w:r>
          <w:rPr>
            <w:rStyle w:val="Hyperlink"/>
            <w:rFonts w:ascii="Times New Roman" w:hAnsi="Times New Roman"/>
            <w:b w:val="false"/>
            <w:i w:val="false"/>
            <w:color w:val="000000"/>
            <w:sz w:val="22"/>
          </w:rPr>
          <w:t>76.14(2)</w:t>
        </w:r>
      </w:hyperlink>
      <w:r>
        <w:rPr>
          <w:rFonts w:ascii="Times New Roman" w:hAnsi="Times New Roman"/>
          <w:b w:val="false"/>
          <w:i/>
          <w:color w:val="000000"/>
          <w:sz w:val="22"/>
        </w:rPr>
        <w:t>“b”</w:t>
      </w:r>
      <w:r>
        <w:rPr>
          <w:rFonts w:ascii="Times New Roman" w:hAnsi="Times New Roman"/>
          <w:b w:val="false"/>
          <w:i w:val="false"/>
          <w:color w:val="000000"/>
          <w:sz w:val="22"/>
        </w:rPr>
        <w:t xml:space="preserve"> or </w:t>
      </w:r>
      <w:r>
        <w:rPr>
          <w:rFonts w:ascii="Times New Roman" w:hAnsi="Times New Roman"/>
          <w:b w:val="false"/>
          <w:i/>
          <w:color w:val="000000"/>
          <w:sz w:val="22"/>
        </w:rPr>
        <w:t>“c”</w:t>
      </w:r>
      <w:r>
        <w:rPr>
          <w:rFonts w:ascii="Times New Roman" w:hAnsi="Times New Roman"/>
          <w:b w:val="false"/>
          <w:i w:val="false"/>
          <w:color w:val="000000"/>
          <w:sz w:val="22"/>
        </w:rPr>
        <w:t xml:space="preserve"> will be acted upon and treated like an application and the eligibility effective date will be determined pursuant to subparagraph </w:t>
      </w:r>
      <w:hyperlink r:id="rId73">
        <w:r>
          <w:rPr>
            <w:rStyle w:val="Hyperlink"/>
            <w:rFonts w:ascii="Times New Roman" w:hAnsi="Times New Roman"/>
            <w:b w:val="false"/>
            <w:i w:val="false"/>
            <w:color w:val="000000"/>
            <w:sz w:val="22"/>
          </w:rPr>
          <w:t>76.13(1)</w:t>
        </w:r>
      </w:hyperlink>
      <w:r>
        <w:rPr>
          <w:rFonts w:ascii="Times New Roman" w:hAnsi="Times New Roman"/>
          <w:b w:val="false"/>
          <w:i/>
          <w:color w:val="000000"/>
          <w:sz w:val="22"/>
        </w:rPr>
        <w:t>“a”</w:t>
      </w:r>
      <w:r>
        <w:rPr>
          <w:rFonts w:ascii="Times New Roman" w:hAnsi="Times New Roman"/>
          <w:b w:val="false"/>
          <w:i w:val="false"/>
          <w:color w:val="000000"/>
          <w:sz w:val="22"/>
        </w:rPr>
        <w:t>(2).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Interview required. </w:t>
      </w:r>
      <w:r>
        <w:rPr>
          <w:rFonts w:ascii="Times New Roman" w:hAnsi="Times New Roman"/>
          <w:b w:val="false"/>
          <w:i w:val="false"/>
          <w:color w:val="000000"/>
          <w:sz w:val="22"/>
        </w:rPr>
        <w:t>An individual whose eligibility is not based on the MAGI methodology may be required to attend an interview to clarify information or to resolve conflicting information. The department will not require an in-person interview as part of the process.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9702C</w:t>
      </w:r>
      <w:r>
        <w:rPr>
          <w:rFonts w:ascii="Times New Roman" w:hAnsi="Times New Roman"/>
          <w:b w:val="false"/>
          <w:i w:val="false"/>
          <w:color w:val="000000"/>
          <w:sz w:val="16"/>
        </w:rPr>
        <w:t>, IAB 11/12/25,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441—76.15</w:t>
      </w:r>
      <w:r>
        <w:rPr>
          <w:rFonts w:ascii="Times New Roman" w:hAnsi="Times New Roman"/>
          <w:b/>
          <w:i w:val="false"/>
          <w:color w:val="000000"/>
          <w:sz w:val="22"/>
        </w:rPr>
        <w:t xml:space="preserve">(249A) </w:t>
      </w:r>
      <w:r>
        <w:rPr>
          <w:rFonts w:ascii="Times New Roman" w:hAnsi="Times New Roman"/>
          <w:b/>
          <w:i w:val="false"/>
          <w:color w:val="000000"/>
          <w:sz w:val="22"/>
        </w:rPr>
        <w:t xml:space="preserve">Report of changes. </w:t>
      </w:r>
      <w:r>
        <w:rPr>
          <w:rFonts w:ascii="Times New Roman" w:hAnsi="Times New Roman"/>
          <w:b w:val="false"/>
          <w:i w:val="false"/>
          <w:color w:val="000000"/>
          <w:sz w:val="22"/>
        </w:rPr>
        <w:t>As a continuing condition of enrollment for Medicaid, applicants and current members shall report changes in circumstances as required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76.15(1)</w:t>
      </w:r>
      <w:r>
        <w:rPr>
          <w:rFonts w:ascii="Times New Roman" w:hAnsi="Times New Roman"/>
          <w:b w:val="false"/>
          <w:i w:val="false"/>
          <w:color w:val="000000"/>
          <w:sz w:val="22"/>
        </w:rPr>
        <w:t> </w:t>
      </w:r>
      <w:r>
        <w:rPr>
          <w:rFonts w:ascii="Times New Roman" w:hAnsi="Times New Roman"/>
          <w:b w:val="false"/>
          <w:i w:val="false"/>
          <w:color w:val="000000"/>
          <w:sz w:val="22"/>
        </w:rPr>
        <w:t xml:space="preserve">A change in circumstance that may affect the eligibility of applicants and members must be reported within ten days of the date the change occurred. Changes required to be reported are described in this subrule.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coverage groups for which Medicaid eligibility is determined using the MAGI methodology, any change in the following must be reported: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Income from all 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Members of the household.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School attendance.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Mailing or living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Receipt of a social security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Health insurance premiums or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Alien or citizenship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Federal income tax filing status or claimed dependents for federal tax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In coverage groups for which Medicaid eligibility is not determined using the MAGI methodology, any change in the following must be reported. </w:t>
      </w:r>
      <w:r>
        <w:br/>
      </w:r>
      <w:r>
        <w:rPr>
          <w:rFonts w:ascii="Times New Roman" w:hAnsi="Times New Roman"/>
          <w:b w:val="false"/>
          <w:i w:val="false"/>
          <w:color w:val="000000"/>
          <w:sz w:val="22"/>
        </w:rPr>
        <w:t>EXCEPTION:</w:t>
      </w:r>
      <w:r>
        <w:rPr>
          <w:rFonts w:ascii="Times New Roman" w:hAnsi="Times New Roman"/>
          <w:b w:val="false"/>
          <w:i w:val="false"/>
          <w:color w:val="000000"/>
          <w:sz w:val="22"/>
        </w:rPr>
        <w:t xml:space="preserve"> Persons actually receiving SSI benefits are exempted from these reporting requirements unless the persons have a trust or are applying for or are receiving home- and community-based waiver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Income from all 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Members of the household.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Recovery from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Mailing or living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Health insurance premiums or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Medicare premiums or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Receipt of social security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 xml:space="preserve">Gross income of the community spouse or of the dependent children, parents, or siblings of the institutionalized or community spouse who are living with a community spouse when a diversion is made to the community spouse or family, as those terms are defined in rule </w:t>
      </w:r>
      <w:hyperlink r:id="rId74">
        <w:r>
          <w:rPr>
            <w:rStyle w:val="Hyperlink"/>
            <w:rFonts w:ascii="Times New Roman" w:hAnsi="Times New Roman"/>
            <w:b w:val="false"/>
            <w:i w:val="false"/>
            <w:color w:val="000000"/>
            <w:sz w:val="22"/>
          </w:rPr>
          <w:t>441—75.1</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Income and resources of parents and spouses when income and resources are used in determining Medicaid eligibility, client participation, or spenddown.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Residence in a medical institution for other than respite care for more than 15 days for home- and community-based waiver services recipients.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Individuals in the breast and cervical cancer coverage group are required to report changes in their health insurance coverage and changes in their living or mailing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Individuals receiving Medicaid based on the receipt of Title IV-E-funded foster care, based on an adoption assistance agreement, or based on a guardianship assistance agreement are required to report changes in health insurance coverage, when their living or mailing address changes, upon receipt of a social security number, and upon termination of the adoption assistance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Individuals receiving state-only funded Medicaid are required to report any change in the following: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Income from all 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Mailing or living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Receipt of a social security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Health insurance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Alien or citizenship status.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76.15(2)</w:t>
      </w:r>
      <w:r>
        <w:rPr>
          <w:rFonts w:ascii="Times New Roman" w:hAnsi="Times New Roman"/>
          <w:b w:val="false"/>
          <w:i w:val="false"/>
          <w:color w:val="000000"/>
          <w:sz w:val="22"/>
        </w:rPr>
        <w:t> </w:t>
      </w:r>
      <w:r>
        <w:rPr>
          <w:rFonts w:ascii="Times New Roman" w:hAnsi="Times New Roman"/>
          <w:b w:val="false"/>
          <w:i w:val="false"/>
          <w:color w:val="000000"/>
          <w:sz w:val="22"/>
        </w:rPr>
        <w:t>Failure to report. When a change is not reported as required by this rule, any Medicaid expenditures for care or services provided when the member was not eligible will be considered overpayments and subject to recovery from the member.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9702C</w:t>
      </w:r>
      <w:r>
        <w:rPr>
          <w:rFonts w:ascii="Times New Roman" w:hAnsi="Times New Roman"/>
          <w:b w:val="false"/>
          <w:i w:val="false"/>
          <w:color w:val="000000"/>
          <w:sz w:val="16"/>
        </w:rPr>
        <w:t>, IAB 11/12/25,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441—76.16</w:t>
      </w:r>
      <w:r>
        <w:rPr>
          <w:rFonts w:ascii="Times New Roman" w:hAnsi="Times New Roman"/>
          <w:b/>
          <w:i w:val="false"/>
          <w:color w:val="000000"/>
          <w:sz w:val="22"/>
        </w:rPr>
        <w:t xml:space="preserve">(249A) </w:t>
      </w:r>
      <w:r>
        <w:rPr>
          <w:rFonts w:ascii="Times New Roman" w:hAnsi="Times New Roman"/>
          <w:b/>
          <w:i w:val="false"/>
          <w:color w:val="000000"/>
          <w:sz w:val="22"/>
        </w:rPr>
        <w:t xml:space="preserve">Action on information received. </w:t>
      </w:r>
      <w:r>
        <w:rPr>
          <w:rFonts w:ascii="Times New Roman" w:hAnsi="Times New Roman"/>
          <w:b w:val="false"/>
          <w:i w:val="false"/>
          <w:color w:val="000000"/>
          <w:sz w:val="22"/>
        </w:rPr>
        <w:t xml:space="preserve">When a change in circumstance is reported, or when a change in a member’s circumstances otherwise comes to the attention of the department, its effect on eligibility will be evaluated and eligibility will be redetermined regardless of whether the report of change was required by rule </w:t>
      </w:r>
      <w:hyperlink r:id="rId75">
        <w:r>
          <w:rPr>
            <w:rStyle w:val="Hyperlink"/>
            <w:rFonts w:ascii="Times New Roman" w:hAnsi="Times New Roman"/>
            <w:b w:val="false"/>
            <w:i w:val="false"/>
            <w:color w:val="000000"/>
            <w:sz w:val="22"/>
          </w:rPr>
          <w:t>441—76.15</w:t>
        </w:r>
      </w:hyperlink>
      <w:r>
        <w:rPr>
          <w:rFonts w:ascii="Times New Roman" w:hAnsi="Times New Roman"/>
          <w:b w:val="false"/>
          <w:i w:val="false"/>
          <w:color w:val="000000"/>
          <w:sz w:val="22"/>
        </w:rPr>
        <w:t>(249A). When the department has information about an anticipated change in a member’s circumstances that may affect eligibility, eligibility will be redetermined at the appropriate time based on such change.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76.16(1)</w:t>
      </w:r>
      <w:r>
        <w:rPr>
          <w:rFonts w:ascii="Times New Roman" w:hAnsi="Times New Roman"/>
          <w:b w:val="false"/>
          <w:i w:val="false"/>
          <w:color w:val="000000"/>
          <w:sz w:val="22"/>
        </w:rPr>
        <w:t> </w:t>
      </w:r>
      <w:r>
        <w:rPr>
          <w:rFonts w:ascii="Times New Roman" w:hAnsi="Times New Roman"/>
          <w:b w:val="false"/>
          <w:i w:val="false"/>
          <w:color w:val="000000"/>
          <w:sz w:val="22"/>
        </w:rPr>
        <w:t xml:space="preserve">After assistance has been approved, except as provided in subrules </w:t>
      </w:r>
      <w:hyperlink r:id="rId76">
        <w:r>
          <w:rPr>
            <w:rStyle w:val="Hyperlink"/>
            <w:rFonts w:ascii="Times New Roman" w:hAnsi="Times New Roman"/>
            <w:b w:val="false"/>
            <w:i w:val="false"/>
            <w:color w:val="000000"/>
            <w:sz w:val="22"/>
          </w:rPr>
          <w:t>76.16(2)</w:t>
        </w:r>
      </w:hyperlink>
      <w:r>
        <w:rPr>
          <w:rFonts w:ascii="Times New Roman" w:hAnsi="Times New Roman"/>
          <w:b w:val="false"/>
          <w:i w:val="false"/>
          <w:color w:val="000000"/>
          <w:sz w:val="22"/>
        </w:rPr>
        <w:t xml:space="preserve"> and </w:t>
      </w:r>
      <w:hyperlink r:id="rId77">
        <w:r>
          <w:rPr>
            <w:rStyle w:val="Hyperlink"/>
            <w:rFonts w:ascii="Times New Roman" w:hAnsi="Times New Roman"/>
            <w:b w:val="false"/>
            <w:i w:val="false"/>
            <w:color w:val="000000"/>
            <w:sz w:val="22"/>
          </w:rPr>
          <w:t>76.16(3)</w:t>
        </w:r>
      </w:hyperlink>
      <w:r>
        <w:rPr>
          <w:rFonts w:ascii="Times New Roman" w:hAnsi="Times New Roman"/>
          <w:b w:val="false"/>
          <w:i w:val="false"/>
          <w:color w:val="000000"/>
          <w:sz w:val="22"/>
        </w:rPr>
        <w:t xml:space="preserve"> or as otherwise stated in 441—Chapter </w:t>
      </w:r>
      <w:hyperlink r:id="rId78">
        <w:r>
          <w:rPr>
            <w:rStyle w:val="Hyperlink"/>
            <w:rFonts w:ascii="Times New Roman" w:hAnsi="Times New Roman"/>
            <w:b w:val="false"/>
            <w:i w:val="false"/>
            <w:color w:val="000000"/>
            <w:sz w:val="22"/>
          </w:rPr>
          <w:t>75</w:t>
        </w:r>
      </w:hyperlink>
      <w:r>
        <w:rPr>
          <w:rFonts w:ascii="Times New Roman" w:hAnsi="Times New Roman"/>
          <w:b w:val="false"/>
          <w:i w:val="false"/>
          <w:color w:val="000000"/>
          <w:sz w:val="22"/>
        </w:rPr>
        <w:t xml:space="preserve"> or this chapter, action based on a change reported during a month will be effective the first day of the next calendar month unless timely notice of adverse action is required as specified in rule </w:t>
      </w:r>
      <w:hyperlink r:id="rId79">
        <w:r>
          <w:rPr>
            <w:rStyle w:val="Hyperlink"/>
            <w:rFonts w:ascii="Times New Roman" w:hAnsi="Times New Roman"/>
            <w:b w:val="false"/>
            <w:i w:val="false"/>
            <w:color w:val="000000"/>
            <w:sz w:val="22"/>
          </w:rPr>
          <w:t>441—16.2</w:t>
        </w:r>
      </w:hyperlink>
      <w:r>
        <w:rPr>
          <w:rFonts w:ascii="Times New Roman" w:hAnsi="Times New Roman"/>
          <w:b w:val="false"/>
          <w:i w:val="false"/>
          <w:color w:val="000000"/>
          <w:sz w:val="22"/>
        </w:rPr>
        <w:t xml:space="preserve">(17A).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76.16(2)</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 request is made to add a new person to the Medicaid household and that person meets the eligibility requirements, assistance will be acted upon pursuant to rule </w:t>
      </w:r>
      <w:hyperlink r:id="rId80">
        <w:r>
          <w:rPr>
            <w:rStyle w:val="Hyperlink"/>
            <w:rFonts w:ascii="Times New Roman" w:hAnsi="Times New Roman"/>
            <w:b w:val="false"/>
            <w:i w:val="false"/>
            <w:color w:val="000000"/>
            <w:sz w:val="22"/>
          </w:rPr>
          <w:t>441—76.12</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76.16(3)</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reported change causes a change in coverage from a Medicare Savings Program coverage group described in </w:t>
      </w:r>
      <w:hyperlink r:id="rId81">
        <w:r>
          <w:rPr>
            <w:rStyle w:val="Hyperlink"/>
            <w:rFonts w:ascii="Times New Roman" w:hAnsi="Times New Roman"/>
            <w:b w:val="false"/>
            <w:i w:val="false"/>
            <w:color w:val="000000"/>
            <w:sz w:val="22"/>
          </w:rPr>
          <w:t>441—subrule 75.6(5)</w:t>
        </w:r>
      </w:hyperlink>
      <w:r>
        <w:rPr>
          <w:rFonts w:ascii="Times New Roman" w:hAnsi="Times New Roman"/>
          <w:b w:val="false"/>
          <w:i w:val="false"/>
          <w:color w:val="000000"/>
          <w:sz w:val="22"/>
        </w:rPr>
        <w:t xml:space="preserve"> to coverage under Medicaid for employed people with disabilities (MEPD) as described in </w:t>
      </w:r>
      <w:hyperlink r:id="rId82">
        <w:r>
          <w:rPr>
            <w:rStyle w:val="Hyperlink"/>
            <w:rFonts w:ascii="Times New Roman" w:hAnsi="Times New Roman"/>
            <w:b w:val="false"/>
            <w:i w:val="false"/>
            <w:color w:val="000000"/>
            <w:sz w:val="22"/>
          </w:rPr>
          <w:t>441—subrule 75.6(6)</w:t>
        </w:r>
      </w:hyperlink>
      <w:r>
        <w:rPr>
          <w:rFonts w:ascii="Times New Roman" w:hAnsi="Times New Roman"/>
          <w:b w:val="false"/>
          <w:i w:val="false"/>
          <w:color w:val="000000"/>
          <w:sz w:val="22"/>
        </w:rPr>
        <w:t>, the reported change will be effective the first day of the calendar month that the change was reported.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76.16(4)</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change creates ineligibility, eligibility under the current coverage group will be canceled and an automatic redetermination of eligibility will be completed in accordance with rule </w:t>
      </w:r>
      <w:hyperlink r:id="rId83">
        <w:r>
          <w:rPr>
            <w:rStyle w:val="Hyperlink"/>
            <w:rFonts w:ascii="Times New Roman" w:hAnsi="Times New Roman"/>
            <w:b w:val="false"/>
            <w:i w:val="false"/>
            <w:color w:val="000000"/>
            <w:sz w:val="22"/>
          </w:rPr>
          <w:t>441—76.17</w:t>
        </w:r>
      </w:hyperlink>
      <w:r>
        <w:rPr>
          <w:rFonts w:ascii="Times New Roman" w:hAnsi="Times New Roman"/>
          <w:b w:val="false"/>
          <w:i w:val="false"/>
          <w:color w:val="000000"/>
          <w:sz w:val="22"/>
        </w:rPr>
        <w:t>(249A).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9702C</w:t>
      </w:r>
      <w:r>
        <w:rPr>
          <w:rFonts w:ascii="Times New Roman" w:hAnsi="Times New Roman"/>
          <w:b w:val="false"/>
          <w:i w:val="false"/>
          <w:color w:val="000000"/>
          <w:sz w:val="16"/>
        </w:rPr>
        <w:t>, IAB 11/12/25,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441—76.17</w:t>
      </w:r>
      <w:r>
        <w:rPr>
          <w:rFonts w:ascii="Times New Roman" w:hAnsi="Times New Roman"/>
          <w:b/>
          <w:i w:val="false"/>
          <w:color w:val="000000"/>
          <w:sz w:val="22"/>
        </w:rPr>
        <w:t xml:space="preserve">(249A) </w:t>
      </w:r>
      <w:r>
        <w:rPr>
          <w:rFonts w:ascii="Times New Roman" w:hAnsi="Times New Roman"/>
          <w:b/>
          <w:i w:val="false"/>
          <w:color w:val="000000"/>
          <w:sz w:val="22"/>
        </w:rPr>
        <w:t xml:space="preserve">Timeliness requirements for conducting automatic redeterminations of eligibility. </w:t>
      </w:r>
      <w:r>
        <w:rPr>
          <w:rFonts w:ascii="Times New Roman" w:hAnsi="Times New Roman"/>
          <w:b w:val="false"/>
          <w:i w:val="false"/>
          <w:color w:val="000000"/>
          <w:sz w:val="22"/>
        </w:rPr>
        <w:t xml:space="preserve">Whenever a Medicaid member no longer meets the eligibility requirements of the current coverage group, the department will automatically redetermine eligibility for other Medicaid coverage groups unless the reason for ineligibility is due to not meeting the requirements in rule </w:t>
      </w:r>
      <w:hyperlink r:id="rId84">
        <w:r>
          <w:rPr>
            <w:rStyle w:val="Hyperlink"/>
            <w:rFonts w:ascii="Times New Roman" w:hAnsi="Times New Roman"/>
            <w:b w:val="false"/>
            <w:i w:val="false"/>
            <w:color w:val="000000"/>
            <w:sz w:val="22"/>
          </w:rPr>
          <w:t>441—76.8</w:t>
        </w:r>
      </w:hyperlink>
      <w:r>
        <w:rPr>
          <w:rFonts w:ascii="Times New Roman" w:hAnsi="Times New Roman"/>
          <w:b w:val="false"/>
          <w:i w:val="false"/>
          <w:color w:val="000000"/>
          <w:sz w:val="22"/>
        </w:rPr>
        <w:t xml:space="preserve">(249A). If the reason for ineligibility under the initial coverage group pertained to a condition of eligibility that applies to all coverage groups, no further redetermination will be required. When the redetermination is completed, the member will be notified of the decision in writing. The redetermination process will be completed as follows: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76.17(1)</w:t>
      </w:r>
      <w:r>
        <w:rPr>
          <w:rFonts w:ascii="Times New Roman" w:hAnsi="Times New Roman"/>
          <w:b w:val="false"/>
          <w:i w:val="false"/>
          <w:color w:val="000000"/>
          <w:sz w:val="22"/>
        </w:rPr>
        <w:t> </w:t>
      </w:r>
      <w:r>
        <w:rPr>
          <w:rFonts w:ascii="Times New Roman" w:hAnsi="Times New Roman"/>
          <w:b w:val="false"/>
          <w:i/>
          <w:color w:val="000000"/>
          <w:sz w:val="22"/>
        </w:rPr>
        <w:t xml:space="preserve">Information received by the tenth of the month. </w:t>
      </w:r>
      <w:r>
        <w:rPr>
          <w:rFonts w:ascii="Times New Roman" w:hAnsi="Times New Roman"/>
          <w:b w:val="false"/>
          <w:i w:val="false"/>
          <w:color w:val="000000"/>
          <w:sz w:val="22"/>
        </w:rPr>
        <w:t xml:space="preserve">If information that creates ineligibility under the current coverage group is received by the department by the tenth of the month, the redetermination process will be completed by the end of that month unless the provisions of rule </w:t>
      </w:r>
      <w:hyperlink r:id="rId85">
        <w:r>
          <w:rPr>
            <w:rStyle w:val="Hyperlink"/>
            <w:rFonts w:ascii="Times New Roman" w:hAnsi="Times New Roman"/>
            <w:b w:val="false"/>
            <w:i w:val="false"/>
            <w:color w:val="000000"/>
            <w:sz w:val="22"/>
          </w:rPr>
          <w:t>441—76.14</w:t>
        </w:r>
      </w:hyperlink>
      <w:r>
        <w:rPr>
          <w:rFonts w:ascii="Times New Roman" w:hAnsi="Times New Roman"/>
          <w:b w:val="false"/>
          <w:i w:val="false"/>
          <w:color w:val="000000"/>
          <w:sz w:val="22"/>
        </w:rPr>
        <w:t xml:space="preserve">(249A) apply. The effective date of cancellation for the current coverage group will be the first day of the month following the month in which the information is received, pursuant to rule </w:t>
      </w:r>
      <w:hyperlink r:id="rId86">
        <w:r>
          <w:rPr>
            <w:rStyle w:val="Hyperlink"/>
            <w:rFonts w:ascii="Times New Roman" w:hAnsi="Times New Roman"/>
            <w:b w:val="false"/>
            <w:i w:val="false"/>
            <w:color w:val="000000"/>
            <w:sz w:val="22"/>
          </w:rPr>
          <w:t>441—76.16</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76.17(2)</w:t>
      </w:r>
      <w:r>
        <w:rPr>
          <w:rFonts w:ascii="Times New Roman" w:hAnsi="Times New Roman"/>
          <w:b w:val="false"/>
          <w:i w:val="false"/>
          <w:color w:val="000000"/>
          <w:sz w:val="22"/>
        </w:rPr>
        <w:t> </w:t>
      </w:r>
      <w:r>
        <w:rPr>
          <w:rFonts w:ascii="Times New Roman" w:hAnsi="Times New Roman"/>
          <w:b w:val="false"/>
          <w:i/>
          <w:color w:val="000000"/>
          <w:sz w:val="22"/>
        </w:rPr>
        <w:t xml:space="preserve">Information received after the tenth of the month. </w:t>
      </w:r>
      <w:r>
        <w:rPr>
          <w:rFonts w:ascii="Times New Roman" w:hAnsi="Times New Roman"/>
          <w:b w:val="false"/>
          <w:i w:val="false"/>
          <w:color w:val="000000"/>
          <w:sz w:val="22"/>
        </w:rPr>
        <w:t xml:space="preserve">If information that creates ineligibility under the current coverage group is received by the department after the tenth of the month, the redetermination process will be completed by the end of the following month unless the provisions of rule </w:t>
      </w:r>
      <w:hyperlink r:id="rId87">
        <w:r>
          <w:rPr>
            <w:rStyle w:val="Hyperlink"/>
            <w:rFonts w:ascii="Times New Roman" w:hAnsi="Times New Roman"/>
            <w:b w:val="false"/>
            <w:i w:val="false"/>
            <w:color w:val="000000"/>
            <w:sz w:val="22"/>
          </w:rPr>
          <w:t>441—76.14</w:t>
        </w:r>
      </w:hyperlink>
      <w:r>
        <w:rPr>
          <w:rFonts w:ascii="Times New Roman" w:hAnsi="Times New Roman"/>
          <w:b w:val="false"/>
          <w:i w:val="false"/>
          <w:color w:val="000000"/>
          <w:sz w:val="22"/>
        </w:rPr>
        <w:t xml:space="preserve">(249A) apply. The effective date of cancellation for the current coverage group will be no earlier than the first day of the first month following the month in which the information is received, pursuant to rule </w:t>
      </w:r>
      <w:hyperlink r:id="rId88">
        <w:r>
          <w:rPr>
            <w:rStyle w:val="Hyperlink"/>
            <w:rFonts w:ascii="Times New Roman" w:hAnsi="Times New Roman"/>
            <w:b w:val="false"/>
            <w:i w:val="false"/>
            <w:color w:val="000000"/>
            <w:sz w:val="22"/>
          </w:rPr>
          <w:t>441—76.16</w:t>
        </w:r>
      </w:hyperlink>
      <w:r>
        <w:rPr>
          <w:rFonts w:ascii="Times New Roman" w:hAnsi="Times New Roman"/>
          <w:b w:val="false"/>
          <w:i w:val="false"/>
          <w:color w:val="000000"/>
          <w:sz w:val="22"/>
        </w:rPr>
        <w:t>(249A), but no later than the second month following the month in which the information is received.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76.17(3)</w:t>
      </w:r>
      <w:r>
        <w:rPr>
          <w:rFonts w:ascii="Times New Roman" w:hAnsi="Times New Roman"/>
          <w:b w:val="false"/>
          <w:i w:val="false"/>
          <w:color w:val="000000"/>
          <w:sz w:val="22"/>
        </w:rPr>
        <w:t> </w:t>
      </w:r>
      <w:r>
        <w:rPr>
          <w:rFonts w:ascii="Times New Roman" w:hAnsi="Times New Roman"/>
          <w:b w:val="false"/>
          <w:i/>
          <w:color w:val="000000"/>
          <w:sz w:val="22"/>
        </w:rPr>
        <w:t xml:space="preserve">Change in federal law. </w:t>
      </w:r>
      <w:r>
        <w:rPr>
          <w:rFonts w:ascii="Times New Roman" w:hAnsi="Times New Roman"/>
          <w:b w:val="false"/>
          <w:i w:val="false"/>
          <w:color w:val="000000"/>
          <w:sz w:val="22"/>
        </w:rPr>
        <w:t xml:space="preserve">If a change in federal law affects the eligibility of large numbers of Medicaid members and the United States Secretary of Health and Human Services has extended the redetermination time limits, in accordance with </w:t>
      </w:r>
      <w:r>
        <w:rPr>
          <w:rFonts w:ascii="Times New Roman" w:hAnsi="Times New Roman"/>
          <w:b w:val="false"/>
          <w:i w:val="false"/>
          <w:color w:val="000000"/>
          <w:sz w:val="22"/>
        </w:rPr>
        <w:t>42 CFR §435.1003</w:t>
      </w:r>
      <w:r>
        <w:rPr>
          <w:rFonts w:ascii="Times New Roman" w:hAnsi="Times New Roman"/>
          <w:b w:val="false"/>
          <w:i w:val="false"/>
          <w:color w:val="000000"/>
          <w:sz w:val="22"/>
        </w:rPr>
        <w:t>, the redetermination process will be completed within the extended time limit and the effective date of cancellation for the current coverage group will be no later than the first day of the month following the month in which the extended time limit expires.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9702C</w:t>
      </w:r>
      <w:r>
        <w:rPr>
          <w:rFonts w:ascii="Times New Roman" w:hAnsi="Times New Roman"/>
          <w:b w:val="false"/>
          <w:i w:val="false"/>
          <w:color w:val="000000"/>
          <w:sz w:val="16"/>
        </w:rPr>
        <w:t>, IAB 11/12/25,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89">
        <w:r>
          <w:rPr>
            <w:rStyle w:val="Hyperlink"/>
            <w:rFonts w:ascii="Times New Roman" w:hAnsi="Times New Roman"/>
            <w:b w:val="false"/>
            <w:i w:val="false"/>
            <w:color w:val="000000"/>
            <w:sz w:val="22"/>
          </w:rPr>
          <w:t>249A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3/11/70]</w:t>
      </w:r>
    </w:p>
    <w:p>
      <w:pPr>
        <w:spacing w:before="0" w:after="0"/>
        <w:ind w:left="120"/>
        <w:jc w:val="center"/>
      </w:pPr>
      <w:r>
        <w:rPr>
          <w:rFonts w:ascii="Times New Roman" w:hAnsi="Times New Roman"/>
          <w:b w:val="false"/>
          <w:i w:val="false"/>
          <w:color w:val="000000"/>
          <w:sz w:val="21"/>
        </w:rPr>
        <w:t>[Filed 6/25/76, Notice 5/17/76—published 7/12/76, effective 8/16/76]</w:t>
      </w:r>
    </w:p>
    <w:p>
      <w:pPr>
        <w:spacing w:before="0" w:after="0"/>
        <w:ind w:left="120"/>
        <w:jc w:val="center"/>
      </w:pPr>
      <w:r>
        <w:rPr>
          <w:rFonts w:ascii="Times New Roman" w:hAnsi="Times New Roman"/>
          <w:b w:val="false"/>
          <w:i w:val="false"/>
          <w:color w:val="000000"/>
          <w:sz w:val="21"/>
        </w:rPr>
        <w:t>[Filed 11/5/82, Notice 8/18/82—published 11/24/82, effective 1/1/83]</w:t>
      </w:r>
    </w:p>
    <w:p>
      <w:pPr>
        <w:spacing w:before="0" w:after="0"/>
        <w:ind w:left="120"/>
        <w:jc w:val="center"/>
      </w:pPr>
      <w:r>
        <w:rPr>
          <w:rFonts w:ascii="Times New Roman" w:hAnsi="Times New Roman"/>
          <w:b w:val="false"/>
          <w:i w:val="false"/>
          <w:color w:val="000000"/>
          <w:sz w:val="21"/>
        </w:rPr>
        <w:t>[Filed emergency 1/13/84—published 2/1/84, effective 2/8/84]</w:t>
      </w:r>
    </w:p>
    <w:p>
      <w:pPr>
        <w:spacing w:before="0" w:after="0"/>
        <w:ind w:left="120"/>
        <w:jc w:val="center"/>
      </w:pPr>
      <w:r>
        <w:rPr>
          <w:rFonts w:ascii="Times New Roman" w:hAnsi="Times New Roman"/>
          <w:b w:val="false"/>
          <w:i w:val="false"/>
          <w:color w:val="000000"/>
          <w:sz w:val="21"/>
        </w:rPr>
        <w:t>[Filed 5/31/84, Notice 4/11/84—published 6/20/84, effective 8/1/84]</w:t>
      </w:r>
    </w:p>
    <w:p>
      <w:pPr>
        <w:spacing w:before="0" w:after="0"/>
        <w:ind w:left="120"/>
        <w:jc w:val="center"/>
      </w:pPr>
      <w:r>
        <w:rPr>
          <w:rFonts w:ascii="Times New Roman" w:hAnsi="Times New Roman"/>
          <w:b w:val="false"/>
          <w:i w:val="false"/>
          <w:color w:val="000000"/>
          <w:sz w:val="21"/>
        </w:rPr>
        <w:t>[Filed 8/31/84, Notice 6/20/84—published 9/26/84, effective 11/1/84]</w:t>
      </w:r>
    </w:p>
    <w:p>
      <w:pPr>
        <w:spacing w:before="0" w:after="0"/>
        <w:ind w:left="120"/>
        <w:jc w:val="center"/>
      </w:pPr>
      <w:r>
        <w:rPr>
          <w:rFonts w:ascii="Times New Roman" w:hAnsi="Times New Roman"/>
          <w:b w:val="false"/>
          <w:i w:val="false"/>
          <w:color w:val="000000"/>
          <w:sz w:val="21"/>
        </w:rPr>
        <w:t>[Filed 9/28/84, Notice 8/15/84—published 10/24/84, effective 12/1/84]</w:t>
      </w:r>
    </w:p>
    <w:p>
      <w:pPr>
        <w:spacing w:before="0" w:after="0"/>
        <w:ind w:left="120"/>
        <w:jc w:val="center"/>
      </w:pPr>
      <w:r>
        <w:rPr>
          <w:rFonts w:ascii="Times New Roman" w:hAnsi="Times New Roman"/>
          <w:b w:val="false"/>
          <w:i w:val="false"/>
          <w:color w:val="000000"/>
          <w:sz w:val="21"/>
        </w:rPr>
        <w:t>[Filed 10/1/85, Notice 8/14/85—published 10/23/85, effective 12/1/85]</w:t>
      </w:r>
    </w:p>
    <w:p>
      <w:pPr>
        <w:spacing w:before="0" w:after="0"/>
        <w:ind w:left="120"/>
        <w:jc w:val="center"/>
      </w:pPr>
      <w:r>
        <w:rPr>
          <w:rFonts w:ascii="Times New Roman" w:hAnsi="Times New Roman"/>
          <w:b w:val="false"/>
          <w:i w:val="false"/>
          <w:color w:val="000000"/>
          <w:sz w:val="21"/>
        </w:rPr>
        <w:t>[Filed 2/21/86, Notice 1/1/86—published 3/12/86, effective 5/1/86]</w:t>
      </w:r>
    </w:p>
    <w:p>
      <w:pPr>
        <w:spacing w:before="0" w:after="0"/>
        <w:ind w:left="120"/>
        <w:jc w:val="center"/>
      </w:pPr>
      <w:r>
        <w:rPr>
          <w:rFonts w:ascii="Times New Roman" w:hAnsi="Times New Roman"/>
          <w:b w:val="false"/>
          <w:i w:val="false"/>
          <w:color w:val="000000"/>
          <w:sz w:val="21"/>
        </w:rPr>
        <w:t>[Filed 3/21/86, Notice 1/29/86—published 4/9/86, effective 6/1/86]</w:t>
      </w:r>
    </w:p>
    <w:p>
      <w:pPr>
        <w:spacing w:before="0" w:after="0"/>
        <w:ind w:left="120"/>
        <w:jc w:val="center"/>
      </w:pPr>
      <w:r>
        <w:rPr>
          <w:rFonts w:ascii="Times New Roman" w:hAnsi="Times New Roman"/>
          <w:b w:val="false"/>
          <w:i w:val="false"/>
          <w:color w:val="000000"/>
          <w:sz w:val="21"/>
        </w:rPr>
        <w:t>[Filed 4/29/86, Notice 3/12/86—published 5/21/86, effective 8/1/86]</w:t>
      </w:r>
    </w:p>
    <w:p>
      <w:pPr>
        <w:spacing w:before="0" w:after="0"/>
        <w:ind w:left="120"/>
        <w:jc w:val="center"/>
      </w:pPr>
      <w:r>
        <w:rPr>
          <w:rFonts w:ascii="Times New Roman" w:hAnsi="Times New Roman"/>
          <w:b w:val="false"/>
          <w:i w:val="false"/>
          <w:color w:val="000000"/>
          <w:sz w:val="21"/>
        </w:rPr>
        <w:t>[Filed emergency 1/15/87—published 2/11/87, effective 1/15/87]</w:t>
      </w:r>
    </w:p>
    <w:p>
      <w:pPr>
        <w:spacing w:before="0" w:after="0"/>
        <w:ind w:left="120"/>
        <w:jc w:val="center"/>
      </w:pPr>
      <w:r>
        <w:rPr>
          <w:rFonts w:ascii="Times New Roman" w:hAnsi="Times New Roman"/>
          <w:b w:val="false"/>
          <w:i w:val="false"/>
          <w:color w:val="000000"/>
          <w:sz w:val="21"/>
        </w:rPr>
        <w:t>[Filed 8/28/87, Notice 6/17/87—published 9/23/87, effective 11/1/87]</w:t>
      </w:r>
    </w:p>
    <w:p>
      <w:pPr>
        <w:spacing w:before="0" w:after="0"/>
        <w:ind w:left="120"/>
        <w:jc w:val="center"/>
      </w:pPr>
      <w:r>
        <w:rPr>
          <w:rFonts w:ascii="Times New Roman" w:hAnsi="Times New Roman"/>
          <w:b w:val="false"/>
          <w:i w:val="false"/>
          <w:color w:val="000000"/>
          <w:sz w:val="21"/>
        </w:rPr>
        <w:t>[Filed 9/24/87, Notice 8/12/87—published 10/21/87, effective 12/1/87]</w:t>
      </w:r>
    </w:p>
    <w:p>
      <w:pPr>
        <w:spacing w:before="0" w:after="0"/>
        <w:ind w:left="120"/>
        <w:jc w:val="center"/>
      </w:pPr>
      <w:r>
        <w:rPr>
          <w:rFonts w:ascii="Times New Roman" w:hAnsi="Times New Roman"/>
          <w:b w:val="false"/>
          <w:i w:val="false"/>
          <w:color w:val="000000"/>
          <w:sz w:val="21"/>
        </w:rPr>
        <w:t>[Filed 3/17/88, Notice 1/13/88—published 4/6/88, effective 6/1/88]</w:t>
      </w:r>
    </w:p>
    <w:p>
      <w:pPr>
        <w:spacing w:before="0" w:after="0"/>
        <w:ind w:left="120"/>
        <w:jc w:val="center"/>
      </w:pPr>
      <w:r>
        <w:rPr>
          <w:rFonts w:ascii="Times New Roman" w:hAnsi="Times New Roman"/>
          <w:b w:val="false"/>
          <w:i w:val="false"/>
          <w:color w:val="000000"/>
          <w:sz w:val="21"/>
        </w:rPr>
        <w:t>[Filed 6/9/88, Notice 4/20/88—published 6/29/88, effective 9/1/88]</w:t>
      </w:r>
    </w:p>
    <w:p>
      <w:pPr>
        <w:spacing w:before="0" w:after="0"/>
        <w:ind w:left="120"/>
        <w:jc w:val="center"/>
      </w:pPr>
      <w:r>
        <w:rPr>
          <w:rFonts w:ascii="Times New Roman" w:hAnsi="Times New Roman"/>
          <w:b w:val="false"/>
          <w:i w:val="false"/>
          <w:color w:val="000000"/>
          <w:sz w:val="21"/>
        </w:rPr>
        <w:t>[Filed 2/16/89, Notice 12/28/88—published 3/8/89, effective 5/1/89]</w:t>
      </w:r>
    </w:p>
    <w:p>
      <w:pPr>
        <w:spacing w:before="0" w:after="0"/>
        <w:ind w:left="120"/>
        <w:jc w:val="center"/>
      </w:pPr>
      <w:r>
        <w:rPr>
          <w:rFonts w:ascii="Times New Roman" w:hAnsi="Times New Roman"/>
          <w:b w:val="false"/>
          <w:i w:val="false"/>
          <w:color w:val="000000"/>
          <w:sz w:val="21"/>
        </w:rPr>
        <w:t>[Filed 4/14/89, Notice 2/22/89—published 5/3/89, effective 7/1/89]</w:t>
      </w:r>
    </w:p>
    <w:p>
      <w:pPr>
        <w:spacing w:before="0" w:after="0"/>
        <w:ind w:left="120"/>
        <w:jc w:val="center"/>
      </w:pPr>
      <w:r>
        <w:rPr>
          <w:rFonts w:ascii="Times New Roman" w:hAnsi="Times New Roman"/>
          <w:b w:val="false"/>
          <w:i w:val="false"/>
          <w:color w:val="000000"/>
          <w:sz w:val="21"/>
        </w:rPr>
        <w:t>[Filed 7/14/89, Notice 5/31/89—published 8/9/89, effective 10/1/89]</w:t>
      </w:r>
    </w:p>
    <w:p>
      <w:pPr>
        <w:spacing w:before="0" w:after="0"/>
        <w:ind w:left="120"/>
        <w:jc w:val="center"/>
      </w:pPr>
      <w:r>
        <w:rPr>
          <w:rFonts w:ascii="Times New Roman" w:hAnsi="Times New Roman"/>
          <w:b w:val="false"/>
          <w:i w:val="false"/>
          <w:color w:val="000000"/>
          <w:sz w:val="21"/>
        </w:rPr>
        <w:t>[Filed 10/10/89, Notice 8/23/89—published 11/1/89, effective 1/1/90]</w:t>
      </w:r>
    </w:p>
    <w:p>
      <w:pPr>
        <w:spacing w:before="0" w:after="0"/>
        <w:ind w:left="120"/>
        <w:jc w:val="center"/>
      </w:pPr>
      <w:r>
        <w:rPr>
          <w:rFonts w:ascii="Times New Roman" w:hAnsi="Times New Roman"/>
          <w:b w:val="false"/>
          <w:i w:val="false"/>
          <w:color w:val="000000"/>
          <w:sz w:val="21"/>
        </w:rPr>
        <w:t>[Filed 11/16/89, Notice 9/20/89—published 12/13/89, effective 2/1/90]</w:t>
      </w:r>
    </w:p>
    <w:p>
      <w:pPr>
        <w:spacing w:before="0" w:after="0"/>
        <w:ind w:left="120"/>
        <w:jc w:val="center"/>
      </w:pPr>
      <w:r>
        <w:rPr>
          <w:rFonts w:ascii="Times New Roman" w:hAnsi="Times New Roman"/>
          <w:b w:val="false"/>
          <w:i w:val="false"/>
          <w:color w:val="000000"/>
          <w:sz w:val="21"/>
        </w:rPr>
        <w:t>[Filed 1/17/90, Notice 8/23/90—published 2/7/90, effective 4/1/90]</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6/14/90, Notice 5/2/90—published 7/11/90, effective 9/1/90]</w:t>
      </w:r>
    </w:p>
    <w:p>
      <w:pPr>
        <w:spacing w:before="0" w:after="0"/>
        <w:ind w:left="120"/>
        <w:jc w:val="center"/>
      </w:pPr>
      <w:r>
        <w:rPr>
          <w:rFonts w:ascii="Times New Roman" w:hAnsi="Times New Roman"/>
          <w:b w:val="false"/>
          <w:i w:val="false"/>
          <w:color w:val="000000"/>
          <w:sz w:val="21"/>
        </w:rPr>
        <w:t>[Filed 11/14/90, Notice 10/3/90—published 12/12/90, effective 2/1/91]</w:t>
      </w:r>
    </w:p>
    <w:p>
      <w:pPr>
        <w:spacing w:before="0" w:after="0"/>
        <w:ind w:left="120"/>
        <w:jc w:val="center"/>
      </w:pPr>
      <w:r>
        <w:rPr>
          <w:rFonts w:ascii="Times New Roman" w:hAnsi="Times New Roman"/>
          <w:b w:val="false"/>
          <w:i w:val="false"/>
          <w:color w:val="000000"/>
          <w:sz w:val="21"/>
        </w:rPr>
        <w:t>[Filed 12/13/90, Notice 10/31/90—published 1/9/91, effective 3/1/91]</w:t>
      </w:r>
    </w:p>
    <w:p>
      <w:pPr>
        <w:spacing w:before="0" w:after="0"/>
        <w:ind w:left="120"/>
        <w:jc w:val="center"/>
      </w:pPr>
      <w:r>
        <w:rPr>
          <w:rFonts w:ascii="Times New Roman" w:hAnsi="Times New Roman"/>
          <w:b w:val="false"/>
          <w:i w:val="false"/>
          <w:color w:val="000000"/>
          <w:sz w:val="21"/>
        </w:rPr>
        <w:t>[Filed 4/11/91, Notice 2/20/91—published 5/1/91, effective 7/1/91]</w:t>
      </w:r>
    </w:p>
    <w:p>
      <w:pPr>
        <w:spacing w:before="0" w:after="0"/>
        <w:ind w:left="120"/>
        <w:jc w:val="center"/>
      </w:pPr>
      <w:r>
        <w:rPr>
          <w:rFonts w:ascii="Times New Roman" w:hAnsi="Times New Roman"/>
          <w:b w:val="false"/>
          <w:i w:val="false"/>
          <w:color w:val="000000"/>
          <w:sz w:val="21"/>
        </w:rPr>
        <w:t>[Filed 7/10/91, Notice 5/29/91—published 8/7/91, effective 10/1/91]</w:t>
      </w:r>
    </w:p>
    <w:p>
      <w:pPr>
        <w:spacing w:before="0" w:after="0"/>
        <w:ind w:left="120"/>
        <w:jc w:val="center"/>
      </w:pPr>
      <w:r>
        <w:rPr>
          <w:rFonts w:ascii="Times New Roman" w:hAnsi="Times New Roman"/>
          <w:b w:val="false"/>
          <w:i w:val="false"/>
          <w:color w:val="000000"/>
          <w:sz w:val="21"/>
        </w:rPr>
        <w:t>[Filed without Notice 9/18/91—published 10/16/91, effective 11/21/91]</w:t>
      </w:r>
    </w:p>
    <w:p>
      <w:pPr>
        <w:spacing w:before="0" w:after="0"/>
        <w:ind w:left="120"/>
        <w:jc w:val="center"/>
      </w:pPr>
      <w:r>
        <w:rPr>
          <w:rFonts w:ascii="Times New Roman" w:hAnsi="Times New Roman"/>
          <w:b w:val="false"/>
          <w:i w:val="false"/>
          <w:color w:val="000000"/>
          <w:sz w:val="21"/>
        </w:rPr>
        <w:t>[Filed emergency 10/10/91—published 10/30/91, effective 11/21/91]</w:t>
      </w:r>
    </w:p>
    <w:p>
      <w:pPr>
        <w:spacing w:before="0" w:after="0"/>
        <w:ind w:left="120"/>
        <w:jc w:val="center"/>
      </w:pPr>
      <w:r>
        <w:rPr>
          <w:rFonts w:ascii="Times New Roman" w:hAnsi="Times New Roman"/>
          <w:b w:val="false"/>
          <w:i w:val="false"/>
          <w:color w:val="000000"/>
          <w:sz w:val="21"/>
        </w:rPr>
        <w:t>[Filed 10/10/91, Notice 8/21/91—published 10/30/91, effective 1/1/92]</w:t>
      </w:r>
    </w:p>
    <w:p>
      <w:pPr>
        <w:spacing w:before="0" w:after="0"/>
        <w:ind w:left="120"/>
        <w:jc w:val="center"/>
      </w:pPr>
      <w:r>
        <w:rPr>
          <w:rFonts w:ascii="Times New Roman" w:hAnsi="Times New Roman"/>
          <w:b w:val="false"/>
          <w:i w:val="false"/>
          <w:color w:val="000000"/>
          <w:sz w:val="21"/>
        </w:rPr>
        <w:t>[Filed 1/16/92, Notice 9/18/91—published 2/5/92, effective 4/1/92]</w:t>
      </w:r>
    </w:p>
    <w:p>
      <w:pPr>
        <w:spacing w:before="0" w:after="0"/>
        <w:ind w:left="120"/>
        <w:jc w:val="center"/>
      </w:pPr>
      <w:r>
        <w:rPr>
          <w:rFonts w:ascii="Times New Roman" w:hAnsi="Times New Roman"/>
          <w:b w:val="false"/>
          <w:i w:val="false"/>
          <w:color w:val="000000"/>
          <w:sz w:val="21"/>
        </w:rPr>
        <w:t>[Filed 1/16/92, Notice 11/27/91—published 2/5/92, effective 4/1/92]</w:t>
      </w:r>
    </w:p>
    <w:p>
      <w:pPr>
        <w:spacing w:before="0" w:after="0"/>
        <w:ind w:left="120"/>
        <w:jc w:val="center"/>
      </w:pPr>
      <w:r>
        <w:rPr>
          <w:rFonts w:ascii="Times New Roman" w:hAnsi="Times New Roman"/>
          <w:b w:val="false"/>
          <w:i w:val="false"/>
          <w:color w:val="000000"/>
          <w:sz w:val="21"/>
        </w:rPr>
        <w:t>[Filed 1/29/92, Notice 10/16/91—published 2/19/92, effective 3/25/92]</w:t>
      </w:r>
    </w:p>
    <w:p>
      <w:pPr>
        <w:spacing w:before="0" w:after="0"/>
        <w:ind w:left="120"/>
        <w:jc w:val="center"/>
      </w:pPr>
      <w:r>
        <w:rPr>
          <w:rFonts w:ascii="Times New Roman" w:hAnsi="Times New Roman"/>
          <w:b w:val="false"/>
          <w:i w:val="false"/>
          <w:color w:val="000000"/>
          <w:sz w:val="21"/>
        </w:rPr>
        <w:t>[Filed 2/13/92, Notices 12/25/91, 1/8/92—published 3/4/92, effective 5/1/92]</w:t>
      </w:r>
    </w:p>
    <w:p>
      <w:pPr>
        <w:spacing w:before="0" w:after="0"/>
        <w:ind w:left="120"/>
        <w:jc w:val="center"/>
      </w:pPr>
      <w:r>
        <w:rPr>
          <w:rFonts w:ascii="Times New Roman" w:hAnsi="Times New Roman"/>
          <w:b w:val="false"/>
          <w:i w:val="false"/>
          <w:color w:val="000000"/>
          <w:sz w:val="21"/>
        </w:rPr>
        <w:t>[Filed emergency 4/16/92 after Notice 2/19/92—published 5/13/92, effective 5/1/92]</w:t>
      </w:r>
    </w:p>
    <w:p>
      <w:pPr>
        <w:spacing w:before="0" w:after="0"/>
        <w:ind w:left="120"/>
        <w:jc w:val="center"/>
      </w:pPr>
      <w:r>
        <w:rPr>
          <w:rFonts w:ascii="Times New Roman" w:hAnsi="Times New Roman"/>
          <w:b w:val="false"/>
          <w:i w:val="false"/>
          <w:color w:val="000000"/>
          <w:sz w:val="21"/>
        </w:rPr>
        <w:t>[Filed emergency 6/11/92 after Notice 4/15/92—published 7/8/92, effective 7/1/92]</w:t>
      </w:r>
    </w:p>
    <w:p>
      <w:pPr>
        <w:spacing w:before="0" w:after="0"/>
        <w:ind w:left="120"/>
        <w:jc w:val="center"/>
      </w:pPr>
      <w:r>
        <w:rPr>
          <w:rFonts w:ascii="Times New Roman" w:hAnsi="Times New Roman"/>
          <w:b w:val="false"/>
          <w:i w:val="false"/>
          <w:color w:val="000000"/>
          <w:sz w:val="21"/>
        </w:rPr>
        <w:t>[Filed 6/11/92, Notice 4/15/92—published 7/8/92, effective 9/1/92]</w:t>
      </w:r>
    </w:p>
    <w:p>
      <w:pPr>
        <w:spacing w:before="0" w:after="0"/>
        <w:ind w:left="120"/>
        <w:jc w:val="center"/>
      </w:pPr>
      <w:r>
        <w:rPr>
          <w:rFonts w:ascii="Times New Roman" w:hAnsi="Times New Roman"/>
          <w:b w:val="false"/>
          <w:i w:val="false"/>
          <w:color w:val="000000"/>
          <w:sz w:val="21"/>
        </w:rPr>
        <w:t>[Filed emergency 7/17/92—published 8/5/92, effective 8/1/92]</w:t>
      </w:r>
    </w:p>
    <w:p>
      <w:pPr>
        <w:spacing w:before="0" w:after="0"/>
        <w:ind w:left="120"/>
        <w:jc w:val="center"/>
      </w:pPr>
      <w:r>
        <w:rPr>
          <w:rFonts w:ascii="Times New Roman" w:hAnsi="Times New Roman"/>
          <w:b w:val="false"/>
          <w:i w:val="false"/>
          <w:color w:val="000000"/>
          <w:sz w:val="21"/>
        </w:rPr>
        <w:t>[Filed 9/11/92, Notices 7/22/92, 8/5/92—published 9/30/92, effective 12/1/92]</w:t>
      </w:r>
    </w:p>
    <w:p>
      <w:pPr>
        <w:spacing w:before="0" w:after="0"/>
        <w:ind w:left="120"/>
        <w:jc w:val="center"/>
      </w:pPr>
      <w:r>
        <w:rPr>
          <w:rFonts w:ascii="Times New Roman" w:hAnsi="Times New Roman"/>
          <w:b w:val="false"/>
          <w:i w:val="false"/>
          <w:color w:val="000000"/>
          <w:sz w:val="21"/>
        </w:rPr>
        <w:t>[Filed 7/14/93, Notice 5/12/93—published 8/4/93, effective 10/1/93]</w:t>
      </w:r>
    </w:p>
    <w:p>
      <w:pPr>
        <w:spacing w:before="0" w:after="0"/>
        <w:ind w:left="120"/>
        <w:jc w:val="center"/>
      </w:pPr>
      <w:r>
        <w:rPr>
          <w:rFonts w:ascii="Times New Roman" w:hAnsi="Times New Roman"/>
          <w:b w:val="false"/>
          <w:i w:val="false"/>
          <w:color w:val="000000"/>
          <w:sz w:val="21"/>
        </w:rPr>
        <w:t>[Filed emergency 9/17/93—published 10/13/93, effective 10/1/93]</w:t>
      </w:r>
    </w:p>
    <w:p>
      <w:pPr>
        <w:spacing w:before="0" w:after="0"/>
        <w:ind w:left="120"/>
        <w:jc w:val="center"/>
      </w:pPr>
      <w:r>
        <w:rPr>
          <w:rFonts w:ascii="Times New Roman" w:hAnsi="Times New Roman"/>
          <w:b w:val="false"/>
          <w:i w:val="false"/>
          <w:color w:val="000000"/>
          <w:sz w:val="21"/>
        </w:rPr>
        <w:t>[Filed 11/12/93, Notice 9/29/93—published 12/8/93, effective 2/1/94]</w:t>
      </w:r>
    </w:p>
    <w:p>
      <w:pPr>
        <w:spacing w:before="0" w:after="0"/>
        <w:ind w:left="120"/>
        <w:jc w:val="center"/>
      </w:pPr>
      <w:r>
        <w:rPr>
          <w:rFonts w:ascii="Times New Roman" w:hAnsi="Times New Roman"/>
          <w:b w:val="false"/>
          <w:i w:val="false"/>
          <w:color w:val="000000"/>
          <w:sz w:val="21"/>
        </w:rPr>
        <w:t>[Filed 12/16/93, Notice 10/13/93—published 1/5/94, effective 3/1/94]</w:t>
      </w:r>
    </w:p>
    <w:p>
      <w:pPr>
        <w:spacing w:before="0" w:after="0"/>
        <w:ind w:left="120"/>
        <w:jc w:val="center"/>
      </w:pPr>
      <w:r>
        <w:rPr>
          <w:rFonts w:ascii="Times New Roman" w:hAnsi="Times New Roman"/>
          <w:b w:val="false"/>
          <w:i w:val="false"/>
          <w:color w:val="000000"/>
          <w:sz w:val="21"/>
        </w:rPr>
        <w:t>[Filed 4/14/94, Notice 2/16/94—published 5/11/94, effective 7/1/94]</w:t>
      </w:r>
    </w:p>
    <w:p>
      <w:pPr>
        <w:spacing w:before="0" w:after="0"/>
        <w:ind w:left="120"/>
        <w:jc w:val="center"/>
      </w:pPr>
      <w:r>
        <w:rPr>
          <w:rFonts w:ascii="Times New Roman" w:hAnsi="Times New Roman"/>
          <w:b w:val="false"/>
          <w:i w:val="false"/>
          <w:color w:val="000000"/>
          <w:sz w:val="21"/>
        </w:rPr>
        <w:t>[Filed 10/12/94, Notices 8/17/94—published 11/9/94, effective 1/1/95]</w:t>
      </w:r>
    </w:p>
    <w:p>
      <w:pPr>
        <w:spacing w:before="0" w:after="0"/>
        <w:ind w:left="120"/>
        <w:jc w:val="center"/>
      </w:pPr>
      <w:r>
        <w:rPr>
          <w:rFonts w:ascii="Times New Roman" w:hAnsi="Times New Roman"/>
          <w:b w:val="false"/>
          <w:i w:val="false"/>
          <w:color w:val="000000"/>
          <w:sz w:val="21"/>
        </w:rPr>
        <w:t>[Filed 2/16/95, Notice 11/23/94—published 3/15/95, effective 5/1/95]</w:t>
      </w:r>
    </w:p>
    <w:p>
      <w:pPr>
        <w:spacing w:before="0" w:after="0"/>
        <w:ind w:left="120"/>
        <w:jc w:val="center"/>
      </w:pPr>
      <w:r>
        <w:rPr>
          <w:rFonts w:ascii="Times New Roman" w:hAnsi="Times New Roman"/>
          <w:b w:val="false"/>
          <w:i w:val="false"/>
          <w:color w:val="000000"/>
          <w:sz w:val="21"/>
        </w:rPr>
        <w:t>[Filed 8/10/95, Notice 6/21/95—published 8/30/95, effective 11/1/95]</w:t>
      </w:r>
    </w:p>
    <w:p>
      <w:pPr>
        <w:spacing w:before="0" w:after="0"/>
        <w:ind w:left="120"/>
        <w:jc w:val="center"/>
      </w:pPr>
      <w:r>
        <w:rPr>
          <w:rFonts w:ascii="Times New Roman" w:hAnsi="Times New Roman"/>
          <w:b w:val="false"/>
          <w:i w:val="false"/>
          <w:color w:val="000000"/>
          <w:sz w:val="21"/>
        </w:rPr>
        <w:t>[Filed 12/12/96, Notice 9/11/96—published 1/1/97, effective 3/1/97]</w:t>
      </w:r>
    </w:p>
    <w:p>
      <w:pPr>
        <w:spacing w:before="0" w:after="0"/>
        <w:ind w:left="120"/>
        <w:jc w:val="center"/>
      </w:pPr>
      <w:r>
        <w:rPr>
          <w:rFonts w:ascii="Times New Roman" w:hAnsi="Times New Roman"/>
          <w:b w:val="false"/>
          <w:i w:val="false"/>
          <w:color w:val="000000"/>
          <w:sz w:val="21"/>
        </w:rPr>
        <w:t>[Filed emergency1/15/97 after Notice 12/4/96—published 2/12/97, effective 2/1/97]</w:t>
      </w:r>
    </w:p>
    <w:p>
      <w:pPr>
        <w:spacing w:before="0" w:after="0"/>
        <w:ind w:left="120"/>
        <w:jc w:val="center"/>
      </w:pPr>
      <w:r>
        <w:rPr>
          <w:rFonts w:ascii="Times New Roman" w:hAnsi="Times New Roman"/>
          <w:b w:val="false"/>
          <w:i w:val="false"/>
          <w:color w:val="000000"/>
          <w:sz w:val="21"/>
        </w:rPr>
        <w:t>[Filed emergency 3/12/97—published 4/9/97, effective 4/1/97]</w:t>
      </w:r>
    </w:p>
    <w:p>
      <w:pPr>
        <w:spacing w:before="0" w:after="0"/>
        <w:ind w:left="120"/>
        <w:jc w:val="center"/>
      </w:pPr>
      <w:r>
        <w:rPr>
          <w:rFonts w:ascii="Times New Roman" w:hAnsi="Times New Roman"/>
          <w:b w:val="false"/>
          <w:i w:val="false"/>
          <w:color w:val="000000"/>
          <w:sz w:val="21"/>
        </w:rPr>
        <w:t>[Filed 9/16/97, Notice 7/16/97—published 10/8/97, effective 12/1/97]</w:t>
      </w:r>
    </w:p>
    <w:p>
      <w:pPr>
        <w:spacing w:before="0" w:after="0"/>
        <w:ind w:left="120"/>
        <w:jc w:val="center"/>
      </w:pPr>
      <w:r>
        <w:rPr>
          <w:rFonts w:ascii="Times New Roman" w:hAnsi="Times New Roman"/>
          <w:b w:val="false"/>
          <w:i w:val="false"/>
          <w:color w:val="000000"/>
          <w:sz w:val="21"/>
        </w:rPr>
        <w:t>[Filed 8/12/98, Notice 6/17/98—published 9/9/98, effective 11/1/98]</w:t>
      </w:r>
    </w:p>
    <w:p>
      <w:pPr>
        <w:spacing w:before="0" w:after="0"/>
        <w:ind w:left="120"/>
        <w:jc w:val="center"/>
      </w:pPr>
      <w:r>
        <w:rPr>
          <w:rFonts w:ascii="Times New Roman" w:hAnsi="Times New Roman"/>
          <w:b w:val="false"/>
          <w:i w:val="false"/>
          <w:color w:val="000000"/>
          <w:sz w:val="21"/>
        </w:rPr>
        <w:t>[Filed emergency 12/23/98 after Notice 11/4/98—published 1/13/99, effective 1/1/99]</w:t>
      </w:r>
    </w:p>
    <w:p>
      <w:pPr>
        <w:spacing w:before="0" w:after="0"/>
        <w:ind w:left="120"/>
        <w:jc w:val="center"/>
      </w:pPr>
      <w:r>
        <w:rPr>
          <w:rFonts w:ascii="Times New Roman" w:hAnsi="Times New Roman"/>
          <w:b w:val="false"/>
          <w:i w:val="false"/>
          <w:color w:val="000000"/>
          <w:sz w:val="21"/>
        </w:rPr>
        <w:t>[Filed emergency 6/10/99—published 6/30/99, effective 7/1/99]</w:t>
      </w:r>
    </w:p>
    <w:p>
      <w:pPr>
        <w:spacing w:before="0" w:after="0"/>
        <w:ind w:left="120"/>
        <w:jc w:val="center"/>
      </w:pPr>
      <w:r>
        <w:rPr>
          <w:rFonts w:ascii="Times New Roman" w:hAnsi="Times New Roman"/>
          <w:b w:val="false"/>
          <w:i w:val="false"/>
          <w:color w:val="000000"/>
          <w:sz w:val="21"/>
        </w:rPr>
        <w:t>[Filed 8/11/99, Notices 6/16/99, 6/30/99—published 9/8/99, effective 11/1/99]</w:t>
      </w:r>
    </w:p>
    <w:p>
      <w:pPr>
        <w:spacing w:before="0" w:after="0"/>
        <w:ind w:left="120"/>
        <w:jc w:val="center"/>
      </w:pPr>
      <w:r>
        <w:rPr>
          <w:rFonts w:ascii="Times New Roman" w:hAnsi="Times New Roman"/>
          <w:b w:val="false"/>
          <w:i w:val="false"/>
          <w:color w:val="000000"/>
          <w:sz w:val="21"/>
        </w:rPr>
        <w:t>[Filed emergency 9/12/00 after Notice 7/12/00—published 10/4/00, effective 10/1/00]</w:t>
      </w:r>
    </w:p>
    <w:p>
      <w:pPr>
        <w:spacing w:before="0" w:after="0"/>
        <w:ind w:left="120"/>
        <w:jc w:val="center"/>
      </w:pPr>
      <w:r>
        <w:rPr>
          <w:rFonts w:ascii="Times New Roman" w:hAnsi="Times New Roman"/>
          <w:b w:val="false"/>
          <w:i w:val="false"/>
          <w:color w:val="000000"/>
          <w:sz w:val="21"/>
        </w:rPr>
        <w:t>[Filed 6/13/01, Notice 4/18/01—published 7/11/01, effective 9/1/01]</w:t>
      </w:r>
    </w:p>
    <w:p>
      <w:pPr>
        <w:spacing w:before="0" w:after="0"/>
        <w:ind w:left="120"/>
        <w:jc w:val="center"/>
      </w:pPr>
      <w:r>
        <w:rPr>
          <w:rFonts w:ascii="Times New Roman" w:hAnsi="Times New Roman"/>
          <w:b w:val="false"/>
          <w:i w:val="false"/>
          <w:color w:val="000000"/>
          <w:sz w:val="21"/>
        </w:rPr>
        <w:t>[Filed 10/10/01, Notice 8/22/01—published 10/31/01, effective 1/1/02]</w:t>
      </w:r>
    </w:p>
    <w:p>
      <w:pPr>
        <w:spacing w:before="0" w:after="0"/>
        <w:ind w:left="120"/>
        <w:jc w:val="center"/>
      </w:pPr>
      <w:r>
        <w:rPr>
          <w:rFonts w:ascii="Times New Roman" w:hAnsi="Times New Roman"/>
          <w:b w:val="false"/>
          <w:i w:val="false"/>
          <w:color w:val="000000"/>
          <w:sz w:val="21"/>
        </w:rPr>
        <w:t>[Filed emergency 6/13/02—published 7/10/02, effective 6/13/02]</w:t>
      </w:r>
    </w:p>
    <w:p>
      <w:pPr>
        <w:spacing w:before="0" w:after="0"/>
        <w:ind w:left="120"/>
        <w:jc w:val="center"/>
      </w:pPr>
      <w:r>
        <w:rPr>
          <w:rFonts w:ascii="Times New Roman" w:hAnsi="Times New Roman"/>
          <w:b w:val="false"/>
          <w:i w:val="false"/>
          <w:color w:val="000000"/>
          <w:sz w:val="21"/>
        </w:rPr>
        <w:t>[Filed emergency 9/12/02 after Notice 7/24/02—published 10/2/02, effective 10/1/02]</w:t>
      </w:r>
    </w:p>
    <w:p>
      <w:pPr>
        <w:spacing w:before="0" w:after="0"/>
        <w:ind w:left="120"/>
        <w:jc w:val="center"/>
      </w:pPr>
      <w:r>
        <w:rPr>
          <w:rFonts w:ascii="Times New Roman" w:hAnsi="Times New Roman"/>
          <w:b w:val="false"/>
          <w:i w:val="false"/>
          <w:color w:val="000000"/>
          <w:sz w:val="21"/>
        </w:rPr>
        <w:t>[Filed emergency 5/16/03—published 6/11/03, effective 7/1/03]</w:t>
      </w:r>
    </w:p>
    <w:p>
      <w:pPr>
        <w:spacing w:before="0" w:after="0"/>
        <w:ind w:left="120"/>
        <w:jc w:val="center"/>
      </w:pPr>
      <w:r>
        <w:rPr>
          <w:rFonts w:ascii="Times New Roman" w:hAnsi="Times New Roman"/>
          <w:b w:val="false"/>
          <w:i w:val="false"/>
          <w:color w:val="000000"/>
          <w:sz w:val="21"/>
        </w:rPr>
        <w:t>[Filed 9/22/03, Notice 7/9/03—published 10/15/03, effective 12/1/03]</w:t>
      </w:r>
    </w:p>
    <w:p>
      <w:pPr>
        <w:spacing w:before="0" w:after="0"/>
        <w:ind w:left="120"/>
        <w:jc w:val="center"/>
      </w:pPr>
      <w:r>
        <w:rPr>
          <w:rFonts w:ascii="Times New Roman" w:hAnsi="Times New Roman"/>
          <w:b w:val="false"/>
          <w:i w:val="false"/>
          <w:color w:val="000000"/>
          <w:sz w:val="21"/>
        </w:rPr>
        <w:t>[Filed emergency 12/16/03 after Notice 10/29/03—published 1/7/04, effective 1/1/04]</w:t>
      </w:r>
    </w:p>
    <w:p>
      <w:pPr>
        <w:spacing w:before="0" w:after="0"/>
        <w:ind w:left="120"/>
        <w:jc w:val="center"/>
      </w:pPr>
      <w:r>
        <w:rPr>
          <w:rFonts w:ascii="Times New Roman" w:hAnsi="Times New Roman"/>
          <w:b w:val="false"/>
          <w:i w:val="false"/>
          <w:color w:val="000000"/>
          <w:sz w:val="21"/>
        </w:rPr>
        <w:t>[Filed emergency 7/9/04—published 8/4/04, effective 7/9/04]</w:t>
      </w:r>
    </w:p>
    <w:p>
      <w:pPr>
        <w:spacing w:before="0" w:after="0"/>
        <w:ind w:left="120"/>
        <w:jc w:val="center"/>
      </w:pPr>
      <w:r>
        <w:rPr>
          <w:rFonts w:ascii="Times New Roman" w:hAnsi="Times New Roman"/>
          <w:b w:val="false"/>
          <w:i w:val="false"/>
          <w:color w:val="000000"/>
          <w:sz w:val="21"/>
        </w:rPr>
        <w:t>[Filed 9/23/04, Notice 8/4/04—published 10/13/04, effective 11/17/04]</w:t>
      </w:r>
    </w:p>
    <w:p>
      <w:pPr>
        <w:spacing w:before="0" w:after="0"/>
        <w:ind w:left="120"/>
        <w:jc w:val="center"/>
      </w:pPr>
      <w:r>
        <w:rPr>
          <w:rFonts w:ascii="Times New Roman" w:hAnsi="Times New Roman"/>
          <w:b w:val="false"/>
          <w:i w:val="false"/>
          <w:color w:val="000000"/>
          <w:sz w:val="21"/>
        </w:rPr>
        <w:t>[Filed emergency 1/13/05 after Notice 12/8/04—published 2/2/05, effective 2/1/05]</w:t>
      </w:r>
    </w:p>
    <w:p>
      <w:pPr>
        <w:spacing w:before="0" w:after="0"/>
        <w:ind w:left="120"/>
        <w:jc w:val="center"/>
      </w:pPr>
      <w:r>
        <w:rPr>
          <w:rFonts w:ascii="Times New Roman" w:hAnsi="Times New Roman"/>
          <w:b w:val="false"/>
          <w:i w:val="false"/>
          <w:color w:val="000000"/>
          <w:sz w:val="21"/>
        </w:rPr>
        <w:t>[Filed without Notice 5/4/05—published 5/25/05, effective 7/1/05]</w:t>
      </w:r>
    </w:p>
    <w:p>
      <w:pPr>
        <w:spacing w:before="0" w:after="0"/>
        <w:ind w:left="120"/>
        <w:jc w:val="center"/>
      </w:pPr>
      <w:r>
        <w:rPr>
          <w:rFonts w:ascii="Times New Roman" w:hAnsi="Times New Roman"/>
          <w:b w:val="false"/>
          <w:i w:val="false"/>
          <w:color w:val="000000"/>
          <w:sz w:val="21"/>
        </w:rPr>
        <w:t>[Filed emergency 6/17/05 after Notice 8/4/04—published 7/6/05, effective 7/1/05]</w:t>
      </w:r>
    </w:p>
    <w:p>
      <w:pPr>
        <w:spacing w:before="0" w:after="0"/>
        <w:ind w:left="120"/>
        <w:jc w:val="center"/>
      </w:pPr>
      <w:r>
        <w:rPr>
          <w:rFonts w:ascii="Times New Roman" w:hAnsi="Times New Roman"/>
          <w:b w:val="false"/>
          <w:i w:val="false"/>
          <w:color w:val="000000"/>
          <w:sz w:val="21"/>
        </w:rPr>
        <w:t>[Filed emergency 11/16/05—published 12/7/05, effective 12/1/05]</w:t>
      </w:r>
    </w:p>
    <w:p>
      <w:pPr>
        <w:spacing w:before="0" w:after="0"/>
        <w:ind w:left="120"/>
        <w:jc w:val="center"/>
      </w:pPr>
      <w:r>
        <w:rPr>
          <w:rFonts w:ascii="Times New Roman" w:hAnsi="Times New Roman"/>
          <w:b w:val="false"/>
          <w:i w:val="false"/>
          <w:color w:val="000000"/>
          <w:sz w:val="21"/>
        </w:rPr>
        <w:t>[Filed emergency 6/16/06 after Notice 4/12/06—published 7/5/06, effective 7/1/06]</w:t>
      </w:r>
    </w:p>
    <w:p>
      <w:pPr>
        <w:spacing w:before="0" w:after="0"/>
        <w:ind w:left="120"/>
        <w:jc w:val="center"/>
      </w:pPr>
      <w:r>
        <w:rPr>
          <w:rFonts w:ascii="Times New Roman" w:hAnsi="Times New Roman"/>
          <w:b w:val="false"/>
          <w:i w:val="false"/>
          <w:color w:val="000000"/>
          <w:sz w:val="21"/>
        </w:rPr>
        <w:t>[Filed 12/13/06, Notice 8/2/06—published 1/3/07, effective 3/1/07]</w:t>
      </w:r>
    </w:p>
    <w:p>
      <w:pPr>
        <w:spacing w:before="0" w:after="0"/>
        <w:ind w:left="120"/>
        <w:jc w:val="center"/>
      </w:pPr>
      <w:r>
        <w:rPr>
          <w:rFonts w:ascii="Times New Roman" w:hAnsi="Times New Roman"/>
          <w:b w:val="false"/>
          <w:i w:val="false"/>
          <w:color w:val="000000"/>
          <w:sz w:val="21"/>
        </w:rPr>
        <w:t>[Filed 5/16/07, Notice 2/14/07—published 6/6/07, effective 8/1/07]</w:t>
      </w:r>
    </w:p>
    <w:p>
      <w:pPr>
        <w:spacing w:before="0" w:after="0"/>
        <w:ind w:left="120"/>
        <w:jc w:val="center"/>
      </w:pPr>
      <w:r>
        <w:rPr>
          <w:rFonts w:ascii="Times New Roman" w:hAnsi="Times New Roman"/>
          <w:b w:val="false"/>
          <w:i w:val="false"/>
          <w:color w:val="000000"/>
          <w:sz w:val="21"/>
        </w:rPr>
        <w:t>[Filed emergency 7/12/07 after Notice 5/9/07—published 8/1/07, effective 8/1/07]</w:t>
      </w:r>
    </w:p>
    <w:p>
      <w:pPr>
        <w:spacing w:before="0" w:after="0"/>
        <w:ind w:left="120"/>
        <w:jc w:val="center"/>
      </w:pPr>
      <w:r>
        <w:rPr>
          <w:rFonts w:ascii="Times New Roman" w:hAnsi="Times New Roman"/>
          <w:b w:val="false"/>
          <w:i w:val="false"/>
          <w:color w:val="000000"/>
          <w:sz w:val="21"/>
        </w:rPr>
        <w:t>[Filed 11/14/07, Notice 8/29/07—published 12/5/07, effective 2/1/08]</w:t>
      </w:r>
    </w:p>
    <w:p>
      <w:pPr>
        <w:spacing w:before="0" w:after="0"/>
        <w:ind w:left="120"/>
        <w:jc w:val="center"/>
      </w:pPr>
      <w:r>
        <w:rPr>
          <w:rFonts w:ascii="Times New Roman" w:hAnsi="Times New Roman"/>
          <w:b w:val="false"/>
          <w:i w:val="false"/>
          <w:color w:val="000000"/>
          <w:sz w:val="21"/>
        </w:rPr>
        <w:t>[Filed emergency 2/13/08 after Notice 12/19/07—published 3/12/08, effective 2/15/08]</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7/9/08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5/7/08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7/30/08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10/1/08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10/14/08</w:t>
      </w:r>
      <w:r>
        <w:rPr>
          <w:rFonts w:ascii="Times New Roman" w:hAnsi="Times New Roman"/>
          <w:b w:val="false"/>
          <w:i w:val="false"/>
          <w:color w:val="000000"/>
          <w:sz w:val="21"/>
        </w:rPr>
        <w:t xml:space="preserve"> after Notice </w:t>
      </w:r>
      <w:r>
        <w:rPr>
          <w:rFonts w:ascii="Times New Roman" w:hAnsi="Times New Roman"/>
          <w:b w:val="false"/>
          <w:i w:val="false"/>
          <w:color w:val="000000"/>
          <w:sz w:val="21"/>
        </w:rPr>
        <w:t>8/27/08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11/5/08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11/1/08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Emergency After Notice ARC 7544B</w:t>
      </w:r>
      <w:r>
        <w:rPr>
          <w:rFonts w:ascii="Times New Roman" w:hAnsi="Times New Roman"/>
          <w:b w:val="false"/>
          <w:i w:val="false"/>
          <w:color w:val="000000"/>
          <w:sz w:val="21"/>
        </w:rPr>
        <w:t xml:space="preserve"> (Notice ARC 7367B, IAB 11/19/08)</w:t>
      </w:r>
      <w:r>
        <w:rPr>
          <w:rFonts w:ascii="Times New Roman" w:hAnsi="Times New Roman"/>
          <w:b w:val="false"/>
          <w:i w:val="false"/>
          <w:color w:val="000000"/>
          <w:sz w:val="21"/>
        </w:rPr>
        <w:t>, IAB 2/11/09, effective 1/14/09]</w:t>
      </w:r>
      <w:r>
        <w:br/>
      </w:r>
      <w:r>
        <w:rPr>
          <w:rFonts w:ascii="Times New Roman" w:hAnsi="Times New Roman"/>
          <w:b w:val="false"/>
          <w:i w:val="false"/>
          <w:color w:val="000000"/>
          <w:sz w:val="21"/>
        </w:rPr>
        <w:t>[Filed ARC 7547B</w:t>
      </w:r>
      <w:r>
        <w:rPr>
          <w:rFonts w:ascii="Times New Roman" w:hAnsi="Times New Roman"/>
          <w:b w:val="false"/>
          <w:i w:val="false"/>
          <w:color w:val="000000"/>
          <w:sz w:val="21"/>
        </w:rPr>
        <w:t xml:space="preserve"> (Notice ARC 7355B, IAB 11/19/08)</w:t>
      </w:r>
      <w:r>
        <w:rPr>
          <w:rFonts w:ascii="Times New Roman" w:hAnsi="Times New Roman"/>
          <w:b w:val="false"/>
          <w:i w:val="false"/>
          <w:color w:val="000000"/>
          <w:sz w:val="21"/>
        </w:rPr>
        <w:t>, IAB 2/11/09, effective 3/18/09]</w:t>
      </w:r>
    </w:p>
    <w:p>
      <w:pPr>
        <w:spacing w:before="0" w:after="0"/>
        <w:ind w:left="120"/>
        <w:jc w:val="center"/>
      </w:pPr>
      <w:r>
        <w:rPr>
          <w:rFonts w:ascii="Times New Roman" w:hAnsi="Times New Roman"/>
          <w:b w:val="false"/>
          <w:i w:val="false"/>
          <w:color w:val="000000"/>
          <w:sz w:val="21"/>
        </w:rPr>
        <w:t>[Filed ARC 7740B</w:t>
      </w:r>
      <w:r>
        <w:rPr>
          <w:rFonts w:ascii="Times New Roman" w:hAnsi="Times New Roman"/>
          <w:b w:val="false"/>
          <w:i w:val="false"/>
          <w:color w:val="000000"/>
          <w:sz w:val="21"/>
        </w:rPr>
        <w:t xml:space="preserve"> (Notice ARC 7590B, IAB 2/25/09)</w:t>
      </w:r>
      <w:r>
        <w:rPr>
          <w:rFonts w:ascii="Times New Roman" w:hAnsi="Times New Roman"/>
          <w:b w:val="false"/>
          <w:i w:val="false"/>
          <w:color w:val="000000"/>
          <w:sz w:val="21"/>
        </w:rPr>
        <w:t>, IAB 5/6/09, effective 6/10/09]</w:t>
      </w:r>
    </w:p>
    <w:p>
      <w:pPr>
        <w:spacing w:before="0" w:after="0"/>
        <w:ind w:left="120"/>
        <w:jc w:val="center"/>
      </w:pPr>
      <w:r>
        <w:rPr>
          <w:rFonts w:ascii="Times New Roman" w:hAnsi="Times New Roman"/>
          <w:b w:val="false"/>
          <w:i w:val="false"/>
          <w:color w:val="000000"/>
          <w:sz w:val="21"/>
        </w:rPr>
        <w:t>[Filed ARC 8260B</w:t>
      </w:r>
      <w:r>
        <w:rPr>
          <w:rFonts w:ascii="Times New Roman" w:hAnsi="Times New Roman"/>
          <w:b w:val="false"/>
          <w:i w:val="false"/>
          <w:color w:val="000000"/>
          <w:sz w:val="21"/>
        </w:rPr>
        <w:t xml:space="preserve"> (Notice ARC 8056B, IAB 8/26/09)</w:t>
      </w:r>
      <w:r>
        <w:rPr>
          <w:rFonts w:ascii="Times New Roman" w:hAnsi="Times New Roman"/>
          <w:b w:val="false"/>
          <w:i w:val="false"/>
          <w:color w:val="000000"/>
          <w:sz w:val="21"/>
        </w:rPr>
        <w:t>, IAB 11/4/09, effective 1/1/10]</w:t>
      </w:r>
    </w:p>
    <w:p>
      <w:pPr>
        <w:spacing w:before="0" w:after="0"/>
        <w:ind w:left="120"/>
        <w:jc w:val="center"/>
      </w:pPr>
      <w:r>
        <w:rPr>
          <w:rFonts w:ascii="Times New Roman" w:hAnsi="Times New Roman"/>
          <w:b w:val="false"/>
          <w:i w:val="false"/>
          <w:color w:val="000000"/>
          <w:sz w:val="21"/>
        </w:rPr>
        <w:t>[Filed ARC 8343B</w:t>
      </w:r>
      <w:r>
        <w:rPr>
          <w:rFonts w:ascii="Times New Roman" w:hAnsi="Times New Roman"/>
          <w:b w:val="false"/>
          <w:i w:val="false"/>
          <w:color w:val="000000"/>
          <w:sz w:val="21"/>
        </w:rPr>
        <w:t xml:space="preserve"> (Notice ARC 8113B, IAB 9/9/09)</w:t>
      </w:r>
      <w:r>
        <w:rPr>
          <w:rFonts w:ascii="Times New Roman" w:hAnsi="Times New Roman"/>
          <w:b w:val="false"/>
          <w:i w:val="false"/>
          <w:color w:val="000000"/>
          <w:sz w:val="21"/>
        </w:rPr>
        <w:t>, IAB 12/2/09, effective 1/6/10]</w:t>
      </w:r>
    </w:p>
    <w:p>
      <w:pPr>
        <w:spacing w:before="0" w:after="0"/>
        <w:ind w:left="120"/>
        <w:jc w:val="center"/>
      </w:pPr>
      <w:r>
        <w:rPr>
          <w:rFonts w:ascii="Times New Roman" w:hAnsi="Times New Roman"/>
          <w:b w:val="false"/>
          <w:i w:val="false"/>
          <w:color w:val="000000"/>
          <w:sz w:val="21"/>
        </w:rPr>
        <w:t>[Filed ARC 8439B</w:t>
      </w:r>
      <w:r>
        <w:rPr>
          <w:rFonts w:ascii="Times New Roman" w:hAnsi="Times New Roman"/>
          <w:b w:val="false"/>
          <w:i w:val="false"/>
          <w:color w:val="000000"/>
          <w:sz w:val="21"/>
        </w:rPr>
        <w:t xml:space="preserve"> (Notice ARC 8083B, IAB 8/26/09)</w:t>
      </w:r>
      <w:r>
        <w:rPr>
          <w:rFonts w:ascii="Times New Roman" w:hAnsi="Times New Roman"/>
          <w:b w:val="false"/>
          <w:i w:val="false"/>
          <w:color w:val="000000"/>
          <w:sz w:val="21"/>
        </w:rPr>
        <w:t>, IAB 1/13/10, effective 3/1/10]</w:t>
      </w:r>
    </w:p>
    <w:p>
      <w:pPr>
        <w:spacing w:before="0" w:after="0"/>
        <w:ind w:left="120"/>
        <w:jc w:val="center"/>
      </w:pPr>
      <w:r>
        <w:rPr>
          <w:rFonts w:ascii="Times New Roman" w:hAnsi="Times New Roman"/>
          <w:b w:val="false"/>
          <w:i w:val="false"/>
          <w:color w:val="000000"/>
          <w:sz w:val="21"/>
        </w:rPr>
        <w:t>[Filed Emergency After Notice ARC 8500B</w:t>
      </w:r>
      <w:r>
        <w:rPr>
          <w:rFonts w:ascii="Times New Roman" w:hAnsi="Times New Roman"/>
          <w:b w:val="false"/>
          <w:i w:val="false"/>
          <w:color w:val="000000"/>
          <w:sz w:val="21"/>
        </w:rPr>
        <w:t xml:space="preserve"> (Notice ARC 8272B, IAB 11/4/09)</w:t>
      </w:r>
      <w:r>
        <w:rPr>
          <w:rFonts w:ascii="Times New Roman" w:hAnsi="Times New Roman"/>
          <w:b w:val="false"/>
          <w:i w:val="false"/>
          <w:color w:val="000000"/>
          <w:sz w:val="21"/>
        </w:rPr>
        <w:t>, IAB 2/10/10, effective 3/1/10]</w:t>
      </w:r>
    </w:p>
    <w:p>
      <w:pPr>
        <w:spacing w:before="0" w:after="0"/>
        <w:ind w:left="120"/>
        <w:jc w:val="center"/>
      </w:pPr>
      <w:r>
        <w:rPr>
          <w:rFonts w:ascii="Times New Roman" w:hAnsi="Times New Roman"/>
          <w:b w:val="false"/>
          <w:i w:val="false"/>
          <w:color w:val="000000"/>
          <w:sz w:val="21"/>
        </w:rPr>
        <w:t>[Filed ARC 8642B</w:t>
      </w:r>
      <w:r>
        <w:rPr>
          <w:rFonts w:ascii="Times New Roman" w:hAnsi="Times New Roman"/>
          <w:b w:val="false"/>
          <w:i w:val="false"/>
          <w:color w:val="000000"/>
          <w:sz w:val="21"/>
        </w:rPr>
        <w:t xml:space="preserve"> (Notice ARC 8461B, IAB 1/13/10)</w:t>
      </w:r>
      <w:r>
        <w:rPr>
          <w:rFonts w:ascii="Times New Roman" w:hAnsi="Times New Roman"/>
          <w:b w:val="false"/>
          <w:i w:val="false"/>
          <w:color w:val="000000"/>
          <w:sz w:val="21"/>
        </w:rPr>
        <w:t>, IAB 4/7/10, effective 6/1/10]</w:t>
      </w:r>
    </w:p>
    <w:p>
      <w:pPr>
        <w:spacing w:before="0" w:after="0"/>
        <w:ind w:left="120"/>
        <w:jc w:val="center"/>
      </w:pPr>
      <w:r>
        <w:rPr>
          <w:rFonts w:ascii="Times New Roman" w:hAnsi="Times New Roman"/>
          <w:b w:val="false"/>
          <w:i w:val="false"/>
          <w:color w:val="000000"/>
          <w:sz w:val="21"/>
        </w:rPr>
        <w:t>[Filed Emergency After Notice ARC 8786B</w:t>
      </w:r>
      <w:r>
        <w:rPr>
          <w:rFonts w:ascii="Times New Roman" w:hAnsi="Times New Roman"/>
          <w:b w:val="false"/>
          <w:i w:val="false"/>
          <w:color w:val="000000"/>
          <w:sz w:val="21"/>
        </w:rPr>
        <w:t xml:space="preserve"> (Notice ARC 8552B, IAB 2/24/10)</w:t>
      </w:r>
      <w:r>
        <w:rPr>
          <w:rFonts w:ascii="Times New Roman" w:hAnsi="Times New Roman"/>
          <w:b w:val="false"/>
          <w:i w:val="false"/>
          <w:color w:val="000000"/>
          <w:sz w:val="21"/>
        </w:rPr>
        <w:t>, IAB 6/2/10, effective 6/1/10]</w:t>
      </w:r>
    </w:p>
    <w:p>
      <w:pPr>
        <w:spacing w:before="0" w:after="0"/>
        <w:ind w:left="120"/>
        <w:jc w:val="center"/>
      </w:pPr>
      <w:r>
        <w:rPr>
          <w:rFonts w:ascii="Times New Roman" w:hAnsi="Times New Roman"/>
          <w:b w:val="false"/>
          <w:i w:val="false"/>
          <w:color w:val="000000"/>
          <w:sz w:val="21"/>
        </w:rPr>
        <w:t>[Filed Emergency ARC 9701B, IAB 9/7/11, effective 9/1/11]</w:t>
      </w:r>
    </w:p>
    <w:p>
      <w:pPr>
        <w:spacing w:before="0" w:after="0"/>
        <w:ind w:left="120"/>
        <w:jc w:val="center"/>
      </w:pPr>
      <w:r>
        <w:rPr>
          <w:rFonts w:ascii="Times New Roman" w:hAnsi="Times New Roman"/>
          <w:b w:val="false"/>
          <w:i w:val="false"/>
          <w:color w:val="000000"/>
          <w:sz w:val="21"/>
        </w:rPr>
        <w:t>[Filed ARC 0150C</w:t>
      </w:r>
      <w:r>
        <w:rPr>
          <w:rFonts w:ascii="Times New Roman" w:hAnsi="Times New Roman"/>
          <w:b w:val="false"/>
          <w:i w:val="false"/>
          <w:color w:val="000000"/>
          <w:sz w:val="21"/>
        </w:rPr>
        <w:t xml:space="preserve"> (Notice ARC 0039C, IAB 3/21/12)</w:t>
      </w:r>
      <w:r>
        <w:rPr>
          <w:rFonts w:ascii="Times New Roman" w:hAnsi="Times New Roman"/>
          <w:b w:val="false"/>
          <w:i w:val="false"/>
          <w:color w:val="000000"/>
          <w:sz w:val="21"/>
        </w:rPr>
        <w:t>, IAB 6/13/12, effective 8/1/12]</w:t>
      </w:r>
    </w:p>
    <w:p>
      <w:pPr>
        <w:spacing w:before="0" w:after="0"/>
        <w:ind w:left="120"/>
        <w:jc w:val="center"/>
      </w:pPr>
      <w:r>
        <w:rPr>
          <w:rFonts w:ascii="Times New Roman" w:hAnsi="Times New Roman"/>
          <w:b w:val="false"/>
          <w:i w:val="false"/>
          <w:color w:val="000000"/>
          <w:sz w:val="21"/>
        </w:rPr>
        <w:t>[Filed Emergency After Notice ARC 1069C</w:t>
      </w:r>
      <w:r>
        <w:rPr>
          <w:rFonts w:ascii="Times New Roman" w:hAnsi="Times New Roman"/>
          <w:b w:val="false"/>
          <w:i w:val="false"/>
          <w:color w:val="000000"/>
          <w:sz w:val="21"/>
        </w:rPr>
        <w:t xml:space="preserve"> (Notice ARC 0908C, IAB 8/7/13)</w:t>
      </w:r>
      <w:r>
        <w:rPr>
          <w:rFonts w:ascii="Times New Roman" w:hAnsi="Times New Roman"/>
          <w:b w:val="false"/>
          <w:i w:val="false"/>
          <w:color w:val="000000"/>
          <w:sz w:val="21"/>
        </w:rPr>
        <w:t>, IAB 10/2/13, effective 10/1/13]</w:t>
      </w:r>
    </w:p>
    <w:p>
      <w:pPr>
        <w:spacing w:before="0" w:after="0"/>
        <w:ind w:left="120"/>
        <w:jc w:val="center"/>
      </w:pPr>
      <w:r>
        <w:rPr>
          <w:rFonts w:ascii="Times New Roman" w:hAnsi="Times New Roman"/>
          <w:b w:val="false"/>
          <w:i w:val="false"/>
          <w:color w:val="000000"/>
          <w:sz w:val="21"/>
        </w:rPr>
        <w:t>[Filed Emergency ARC 3353C, IAB 10/11/17, effective 10/1/17]</w:t>
      </w:r>
      <w:r>
        <w:br/>
      </w:r>
      <w:r>
        <w:rPr>
          <w:rFonts w:ascii="Times New Roman" w:hAnsi="Times New Roman"/>
          <w:b w:val="false"/>
          <w:i w:val="false"/>
          <w:color w:val="000000"/>
          <w:sz w:val="21"/>
        </w:rPr>
        <w:t>[Filed Emergency ARC 3354C, IAB 10/11/17, effective 10/1/17]</w:t>
      </w:r>
    </w:p>
    <w:p>
      <w:pPr>
        <w:spacing w:before="0" w:after="0"/>
        <w:ind w:left="120"/>
        <w:jc w:val="center"/>
      </w:pPr>
      <w:r>
        <w:rPr>
          <w:rFonts w:ascii="Times New Roman" w:hAnsi="Times New Roman"/>
          <w:b w:val="false"/>
          <w:i w:val="false"/>
          <w:color w:val="000000"/>
          <w:sz w:val="21"/>
        </w:rPr>
        <w:t>[Filed ARC 3549C</w:t>
      </w:r>
      <w:r>
        <w:rPr>
          <w:rFonts w:ascii="Times New Roman" w:hAnsi="Times New Roman"/>
          <w:b w:val="false"/>
          <w:i w:val="false"/>
          <w:color w:val="000000"/>
          <w:sz w:val="21"/>
        </w:rPr>
        <w:t xml:space="preserve"> (Notice ARC 3355C, IAB 10/11/17)</w:t>
      </w:r>
      <w:r>
        <w:rPr>
          <w:rFonts w:ascii="Times New Roman" w:hAnsi="Times New Roman"/>
          <w:b w:val="false"/>
          <w:i w:val="false"/>
          <w:color w:val="000000"/>
          <w:sz w:val="21"/>
        </w:rPr>
        <w:t>, IAB 1/3/18, effective 2/7/18]</w:t>
      </w:r>
      <w:r>
        <w:br/>
      </w:r>
      <w:r>
        <w:rPr>
          <w:rFonts w:ascii="Times New Roman" w:hAnsi="Times New Roman"/>
          <w:b w:val="false"/>
          <w:i w:val="false"/>
          <w:color w:val="000000"/>
          <w:sz w:val="21"/>
        </w:rPr>
        <w:t>[Filed ARC 3550C</w:t>
      </w:r>
      <w:r>
        <w:rPr>
          <w:rFonts w:ascii="Times New Roman" w:hAnsi="Times New Roman"/>
          <w:b w:val="false"/>
          <w:i w:val="false"/>
          <w:color w:val="000000"/>
          <w:sz w:val="21"/>
        </w:rPr>
        <w:t xml:space="preserve"> (Notice ARC 3356C, IAB 10/11/17)</w:t>
      </w:r>
      <w:r>
        <w:rPr>
          <w:rFonts w:ascii="Times New Roman" w:hAnsi="Times New Roman"/>
          <w:b w:val="false"/>
          <w:i w:val="false"/>
          <w:color w:val="000000"/>
          <w:sz w:val="21"/>
        </w:rPr>
        <w:t>, IAB 1/3/18, effective 2/7/18]</w:t>
      </w:r>
    </w:p>
    <w:p>
      <w:pPr>
        <w:spacing w:before="0" w:after="0"/>
        <w:ind w:left="120"/>
        <w:jc w:val="center"/>
      </w:pPr>
      <w:r>
        <w:rPr>
          <w:rFonts w:ascii="Times New Roman" w:hAnsi="Times New Roman"/>
          <w:b w:val="false"/>
          <w:i w:val="false"/>
          <w:color w:val="000000"/>
          <w:sz w:val="21"/>
        </w:rPr>
        <w:t>[Filed ARC 4208C</w:t>
      </w:r>
      <w:r>
        <w:rPr>
          <w:rFonts w:ascii="Times New Roman" w:hAnsi="Times New Roman"/>
          <w:b w:val="false"/>
          <w:i w:val="false"/>
          <w:color w:val="000000"/>
          <w:sz w:val="21"/>
        </w:rPr>
        <w:t xml:space="preserve"> (Notice ARC 4106C, IAB 11/7/18)</w:t>
      </w:r>
      <w:r>
        <w:rPr>
          <w:rFonts w:ascii="Times New Roman" w:hAnsi="Times New Roman"/>
          <w:b w:val="false"/>
          <w:i w:val="false"/>
          <w:color w:val="000000"/>
          <w:sz w:val="21"/>
        </w:rPr>
        <w:t>, IAB 1/2/19, effective 2/6/19]</w:t>
      </w:r>
    </w:p>
    <w:p>
      <w:pPr>
        <w:spacing w:before="0" w:after="0"/>
        <w:ind w:left="120"/>
        <w:jc w:val="center"/>
      </w:pPr>
      <w:r>
        <w:rPr>
          <w:rFonts w:ascii="Times New Roman" w:hAnsi="Times New Roman"/>
          <w:b w:val="false"/>
          <w:i w:val="false"/>
          <w:color w:val="000000"/>
          <w:sz w:val="21"/>
        </w:rPr>
        <w:t>[Filed ARC 4973C</w:t>
      </w:r>
      <w:r>
        <w:rPr>
          <w:rFonts w:ascii="Times New Roman" w:hAnsi="Times New Roman"/>
          <w:b w:val="false"/>
          <w:i w:val="false"/>
          <w:color w:val="000000"/>
          <w:sz w:val="21"/>
        </w:rPr>
        <w:t xml:space="preserve"> (Notice ARC 4675C, IAB 9/25/19)</w:t>
      </w:r>
      <w:r>
        <w:rPr>
          <w:rFonts w:ascii="Times New Roman" w:hAnsi="Times New Roman"/>
          <w:b w:val="false"/>
          <w:i w:val="false"/>
          <w:color w:val="000000"/>
          <w:sz w:val="21"/>
        </w:rPr>
        <w:t>, IAB 3/11/20, effective 4/15/20]</w:t>
      </w:r>
    </w:p>
    <w:p>
      <w:pPr>
        <w:spacing w:before="0" w:after="0"/>
        <w:ind w:left="120"/>
        <w:jc w:val="center"/>
      </w:pPr>
      <w:r>
        <w:rPr>
          <w:rFonts w:ascii="Times New Roman" w:hAnsi="Times New Roman"/>
          <w:b w:val="false"/>
          <w:i w:val="false"/>
          <w:color w:val="000000"/>
          <w:sz w:val="21"/>
        </w:rPr>
        <w:t>[Filed ARC 9702C</w:t>
      </w:r>
      <w:r>
        <w:rPr>
          <w:rFonts w:ascii="Times New Roman" w:hAnsi="Times New Roman"/>
          <w:b w:val="false"/>
          <w:i w:val="false"/>
          <w:color w:val="000000"/>
          <w:sz w:val="21"/>
        </w:rPr>
        <w:t xml:space="preserve"> (Notice ARC 9551C, IAB 9/17/25)</w:t>
      </w:r>
      <w:r>
        <w:rPr>
          <w:rFonts w:ascii="Times New Roman" w:hAnsi="Times New Roman"/>
          <w:b w:val="false"/>
          <w:i w:val="false"/>
          <w:color w:val="000000"/>
          <w:sz w:val="21"/>
        </w:rPr>
        <w:t>, IAB 11/12/25, effective 1/1/26]</w:t>
      </w:r>
    </w:p>
    <w:p>
      <w:pPr>
        <w:pBdr>
          <w:bottom w:space="2"/>
        </w:pBdr>
        <w:spacing w:before="0" w:after="0"/>
        <w:ind w:left="120"/>
        <w:jc w:val="both"/>
      </w:pPr>
      <w:r>
        <w:rPr>
          <w:rFonts w:ascii="Times New Roman" w:hAnsi="Times New Roman"/>
          <w:b w:val="false"/>
          <w:i w:val="false"/>
          <w:color w:val="000000"/>
          <w:sz w:val="22"/>
        </w:rPr>
        <w:t>Effective date of 4/1/90 delayed 70 days by the Administrative Rules Review Committee at its March 12, 1990, meeting; delay lifted by this Committee, effective May 11, 1990.</w:t>
      </w:r>
    </w:p>
    <w:sectPr>
      <w:footerReference r:id="rId90"/>
      <w:pgSz w:w="11907" w:h="16839" w:code="9"/>
      <w:pgMar w:top="1440" w:right="1440" w:bottom="1440" w:left="1440"/>
    </w:sectPr>
  </w:body>
</w:document>
</file>

<file path=word/footer.xml><?xml version="1.0" encoding="utf-8"?>
<w:ft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41.75.1.pdf" Type="http://schemas.openxmlformats.org/officeDocument/2006/relationships/hyperlink" Id="rId5"/>
    <Relationship TargetMode="External" Target="https://www.legis.iowa.gov/docs/iac/rule/441.76.9.pdf" Type="http://schemas.openxmlformats.org/officeDocument/2006/relationships/hyperlink" Id="rId6"/>
    <Relationship TargetMode="External" Target="http://healthcare.gov" Type="http://schemas.openxmlformats.org/officeDocument/2006/relationships/hyperlink" Id="rId7"/>
    <Relationship TargetMode="External" Target="https://www.legis.iowa.gov/docs/iac/rule/441.76.7.pdf" Type="http://schemas.openxmlformats.org/officeDocument/2006/relationships/hyperlink" Id="rId8"/>
    <Relationship TargetMode="External" Target="https://www.legis.iowa.gov/docs/iac/rule/441.76.9.pdf" Type="http://schemas.openxmlformats.org/officeDocument/2006/relationships/hyperlink" Id="rId9"/>
    <Relationship TargetMode="External" Target="https://www.legis.iowa.gov/docs/iac/rule/441.75.1.pdf" Type="http://schemas.openxmlformats.org/officeDocument/2006/relationships/hyperlink" Id="rId10"/>
    <Relationship TargetMode="External" Target="https://www.legis.iowa.gov/docs/iac/rule/441.75.1.pdf" Type="http://schemas.openxmlformats.org/officeDocument/2006/relationships/hyperlink" Id="rId11"/>
    <Relationship TargetMode="External" Target="https://www.legis.iowa.gov/docs/iac/rule/441.75.1.pdf" Type="http://schemas.openxmlformats.org/officeDocument/2006/relationships/hyperlink" Id="rId12"/>
    <Relationship TargetMode="External" Target="https://www.legis.iowa.gov/docs/iac/rule/441.75.51.pdf" Type="http://schemas.openxmlformats.org/officeDocument/2006/relationships/hyperlink" Id="rId13"/>
    <Relationship TargetMode="External" Target="https://www.legis.iowa.gov/docs/iac/rule/441.76.9.pdf" Type="http://schemas.openxmlformats.org/officeDocument/2006/relationships/hyperlink" Id="rId14"/>
    <Relationship TargetMode="External" Target="https://www.legis.iowa.gov/docs/iac/rule/441.76.9.pdf" Type="http://schemas.openxmlformats.org/officeDocument/2006/relationships/hyperlink" Id="rId15"/>
    <Relationship TargetMode="External" Target="http://www.healthcare.gov" Type="http://schemas.openxmlformats.org/officeDocument/2006/relationships/hyperlink" Id="rId16"/>
    <Relationship TargetMode="External" Target="https://www.legis.iowa.gov/docs/iac/rule/441.76.7.pdf" Type="http://schemas.openxmlformats.org/officeDocument/2006/relationships/hyperlink" Id="rId17"/>
    <Relationship TargetMode="External" Target="https://www.legis.iowa.gov/docs/iac/rule/441.76.2.pdf" Type="http://schemas.openxmlformats.org/officeDocument/2006/relationships/hyperlink" Id="rId18"/>
    <Relationship TargetMode="External" Target="https://www.legis.iowa.gov/docs/iac/rule/441.76.2.pdf" Type="http://schemas.openxmlformats.org/officeDocument/2006/relationships/hyperlink" Id="rId19"/>
    <Relationship TargetMode="External" Target="https://www.legis.iowa.gov/docs/iac/rule/441.76.7.pdf" Type="http://schemas.openxmlformats.org/officeDocument/2006/relationships/hyperlink" Id="rId20"/>
    <Relationship TargetMode="External" Target="https://www.legis.iowa.gov/docs/iac/rule/441.76.3.pdf" Type="http://schemas.openxmlformats.org/officeDocument/2006/relationships/hyperlink" Id="rId21"/>
    <Relationship TargetMode="External" Target="https://www.legis.iowa.gov/docs/iac/chapter/441.16.pdf" Type="http://schemas.openxmlformats.org/officeDocument/2006/relationships/hyperlink" Id="rId22"/>
    <Relationship TargetMode="External" Target="https://www.legis.iowa.gov/docs/iac/rule/441.76.2.pdf" Type="http://schemas.openxmlformats.org/officeDocument/2006/relationships/hyperlink" Id="rId23"/>
    <Relationship TargetMode="External" Target="https://www.legis.iowa.gov/docs/iac/chapter/441.65.pdf" Type="http://schemas.openxmlformats.org/officeDocument/2006/relationships/hyperlink" Id="rId24"/>
    <Relationship TargetMode="External" Target="https://www.legis.iowa.gov/docs/iac/rule/441.75.3.pdf" Type="http://schemas.openxmlformats.org/officeDocument/2006/relationships/hyperlink" Id="rId25"/>
    <Relationship TargetMode="External" Target="https://www.legis.iowa.gov/docs/iac/chapter/441.65.pdf" Type="http://schemas.openxmlformats.org/officeDocument/2006/relationships/hyperlink" Id="rId26"/>
    <Relationship TargetMode="External" Target="https://www.legis.iowa.gov/docs/iac/rule/441.75.11.pdf" Type="http://schemas.openxmlformats.org/officeDocument/2006/relationships/hyperlink" Id="rId27"/>
    <Relationship TargetMode="External" Target="https://www.legis.iowa.gov/docs/iac/rule/441.76.13.pdf" Type="http://schemas.openxmlformats.org/officeDocument/2006/relationships/hyperlink" Id="rId28"/>
    <Relationship TargetMode="External" Target="https://www.legis.iowa.gov/docs/iac/rule/441.76.7.pdf" Type="http://schemas.openxmlformats.org/officeDocument/2006/relationships/hyperlink" Id="rId29"/>
    <Relationship TargetMode="External" Target="https://www.legis.iowa.gov/docs/iac/rule/441.76.7.pdf" Type="http://schemas.openxmlformats.org/officeDocument/2006/relationships/hyperlink" Id="rId30"/>
    <Relationship TargetMode="External" Target="https://www.legis.iowa.gov/docs/iac/rule/441.76.2.pdf" Type="http://schemas.openxmlformats.org/officeDocument/2006/relationships/hyperlink" Id="rId31"/>
    <Relationship TargetMode="External" Target="https://www.legis.iowa.gov/docs/iac/rule/441.76.2.pdf" Type="http://schemas.openxmlformats.org/officeDocument/2006/relationships/hyperlink" Id="rId32"/>
    <Relationship TargetMode="External" Target="https://www.legis.iowa.gov/docs/ico/chapter/17A.pdf" Type="http://schemas.openxmlformats.org/officeDocument/2006/relationships/hyperlink" Id="rId33"/>
    <Relationship TargetMode="External" Target="https://www.legis.iowa.gov/docs/iac/chapter/441.7.pdf" Type="http://schemas.openxmlformats.org/officeDocument/2006/relationships/hyperlink" Id="rId34"/>
    <Relationship TargetMode="External" Target="https://www.legis.iowa.gov/docs/iac/chapter/441.16.pdf" Type="http://schemas.openxmlformats.org/officeDocument/2006/relationships/hyperlink" Id="rId35"/>
    <Relationship TargetMode="External" Target="https://www.legis.iowa.gov/docs/iac/rule/441.76.8.pdf" Type="http://schemas.openxmlformats.org/officeDocument/2006/relationships/hyperlink" Id="rId36"/>
    <Relationship TargetMode="External" Target="https://www.legis.iowa.gov/docs/iac/rule/441.76.8.pdf" Type="http://schemas.openxmlformats.org/officeDocument/2006/relationships/hyperlink" Id="rId37"/>
    <Relationship TargetMode="External" Target="https://www.legis.iowa.gov/docs/iac/rule/441.76.9.pdf" Type="http://schemas.openxmlformats.org/officeDocument/2006/relationships/hyperlink" Id="rId38"/>
    <Relationship TargetMode="External" Target="https://www.legis.iowa.gov/docs/iac/rule/441.76.9.pdf" Type="http://schemas.openxmlformats.org/officeDocument/2006/relationships/hyperlink" Id="rId39"/>
    <Relationship TargetMode="External" Target="https://www.legis.iowa.gov/docs/iac/rule/441.76.2.pdf" Type="http://schemas.openxmlformats.org/officeDocument/2006/relationships/hyperlink" Id="rId40"/>
    <Relationship TargetMode="External" Target="https://www.legis.iowa.gov/docs/iac/rule/441.76.9.pdf" Type="http://schemas.openxmlformats.org/officeDocument/2006/relationships/hyperlink" Id="rId41"/>
    <Relationship TargetMode="External" Target="https://www.legis.iowa.gov/docs/iac/rule/441.79.6.pdf" Type="http://schemas.openxmlformats.org/officeDocument/2006/relationships/hyperlink" Id="rId42"/>
    <Relationship TargetMode="External" Target="https://www.legis.iowa.gov/docs/iac/rule/441.76.9.pdf" Type="http://schemas.openxmlformats.org/officeDocument/2006/relationships/hyperlink" Id="rId43"/>
    <Relationship TargetMode="External" Target="https://www.legis.iowa.gov/docs/iac/rule/441.76.9.pdf" Type="http://schemas.openxmlformats.org/officeDocument/2006/relationships/hyperlink" Id="rId44"/>
    <Relationship TargetMode="External" Target="https://www.legis.iowa.gov/docs/iac/rule/441.75.8.pdf" Type="http://schemas.openxmlformats.org/officeDocument/2006/relationships/hyperlink" Id="rId45"/>
    <Relationship TargetMode="External" Target="https://www.legis.iowa.gov/docs/iac/rule/441.75.14.pdf" Type="http://schemas.openxmlformats.org/officeDocument/2006/relationships/hyperlink" Id="rId46"/>
    <Relationship TargetMode="External" Target="https://www.legis.iowa.gov/docs/iac/rule/441.75.14.pdf" Type="http://schemas.openxmlformats.org/officeDocument/2006/relationships/hyperlink" Id="rId47"/>
    <Relationship TargetMode="External" Target="https://www.legis.iowa.gov/docs/iac/rule/441.75.9.pdf" Type="http://schemas.openxmlformats.org/officeDocument/2006/relationships/hyperlink" Id="rId48"/>
    <Relationship TargetMode="External" Target="https://www.legis.iowa.gov/docs/iac/rule/441.76.7.pdf" Type="http://schemas.openxmlformats.org/officeDocument/2006/relationships/hyperlink" Id="rId49"/>
    <Relationship TargetMode="External" Target="https://www.legis.iowa.gov/docs/iac/rule/441.75.6.pdf" Type="http://schemas.openxmlformats.org/officeDocument/2006/relationships/hyperlink" Id="rId50"/>
    <Relationship TargetMode="External" Target="https://www.legis.iowa.gov/docs/iac/rule/441.76.13.pdf" Type="http://schemas.openxmlformats.org/officeDocument/2006/relationships/hyperlink" Id="rId51"/>
    <Relationship TargetMode="External" Target="https://www.legis.iowa.gov/docs/iac/rule/441.75.11.pdf" Type="http://schemas.openxmlformats.org/officeDocument/2006/relationships/hyperlink" Id="rId52"/>
    <Relationship TargetMode="External" Target="https://www.legis.iowa.gov/docs/iac/rule/441.76.13.pdf" Type="http://schemas.openxmlformats.org/officeDocument/2006/relationships/hyperlink" Id="rId53"/>
    <Relationship TargetMode="External" Target="https://www.legis.iowa.gov/docs/ico/chapter/135C.pdf" Type="http://schemas.openxmlformats.org/officeDocument/2006/relationships/hyperlink" Id="rId54"/>
    <Relationship TargetMode="External" Target="https://www.legis.iowa.gov/docs/iac/rule/441.76.13.pdf" Type="http://schemas.openxmlformats.org/officeDocument/2006/relationships/hyperlink" Id="rId55"/>
    <Relationship TargetMode="External" Target="https://www.legis.iowa.gov/docs/iac/chapter/441.75.pdf" Type="http://schemas.openxmlformats.org/officeDocument/2006/relationships/hyperlink" Id="rId56"/>
    <Relationship TargetMode="External" Target="https://www.legis.iowa.gov/docs/iac/rule/441.76.15.pdf" Type="http://schemas.openxmlformats.org/officeDocument/2006/relationships/hyperlink" Id="rId57"/>
    <Relationship TargetMode="External" Target="https://www.legis.iowa.gov/docs/iac/rule/441.76.14.pdf" Type="http://schemas.openxmlformats.org/officeDocument/2006/relationships/hyperlink" Id="rId58"/>
    <Relationship TargetMode="External" Target="https://www.legis.iowa.gov/docs/iac/rule/441.75.3.pdf" Type="http://schemas.openxmlformats.org/officeDocument/2006/relationships/hyperlink" Id="rId59"/>
    <Relationship TargetMode="External" Target="https://www.legis.iowa.gov/docs/iac/rule/441.75.3.pdf" Type="http://schemas.openxmlformats.org/officeDocument/2006/relationships/hyperlink" Id="rId60"/>
    <Relationship TargetMode="External" Target="https://www.legis.iowa.gov/docs/iac/rule/441.75.3.pdf" Type="http://schemas.openxmlformats.org/officeDocument/2006/relationships/hyperlink" Id="rId61"/>
    <Relationship TargetMode="External" Target="https://www.legis.iowa.gov/docs/iac/rule/441.76.15.pdf" Type="http://schemas.openxmlformats.org/officeDocument/2006/relationships/hyperlink" Id="rId62"/>
    <Relationship TargetMode="External" Target="https://www.legis.iowa.gov/docs/iac/rule/441.76.14.pdf" Type="http://schemas.openxmlformats.org/officeDocument/2006/relationships/hyperlink" Id="rId63"/>
    <Relationship TargetMode="External" Target="https://www.legis.iowa.gov/docs/iac/rule/441.76.2.pdf" Type="http://schemas.openxmlformats.org/officeDocument/2006/relationships/hyperlink" Id="rId64"/>
    <Relationship TargetMode="External" Target="https://www.legis.iowa.gov/docs/iac/rule/441.76.8.pdf" Type="http://schemas.openxmlformats.org/officeDocument/2006/relationships/hyperlink" Id="rId65"/>
    <Relationship TargetMode="External" Target="https://www.legis.iowa.gov/docs/iac/chapter/441.16.pdf" Type="http://schemas.openxmlformats.org/officeDocument/2006/relationships/hyperlink" Id="rId66"/>
    <Relationship TargetMode="External" Target="https://www.legis.iowa.gov/docs/iac/rule/441.76.12.pdf" Type="http://schemas.openxmlformats.org/officeDocument/2006/relationships/hyperlink" Id="rId67"/>
    <Relationship TargetMode="External" Target="https://www.legis.iowa.gov/docs/iac/rule/441.76.14.pdf" Type="http://schemas.openxmlformats.org/officeDocument/2006/relationships/hyperlink" Id="rId68"/>
    <Relationship TargetMode="External" Target="https://www.legis.iowa.gov/docs/iac/rule/441.76.14.pdf" Type="http://schemas.openxmlformats.org/officeDocument/2006/relationships/hyperlink" Id="rId69"/>
    <Relationship TargetMode="External" Target="https://www.legis.iowa.gov/docs/iac/rule/441.76.14.pdf" Type="http://schemas.openxmlformats.org/officeDocument/2006/relationships/hyperlink" Id="rId70"/>
    <Relationship TargetMode="External" Target="https://www.legis.iowa.gov/docs/iac/rule/441.76.14.pdf" Type="http://schemas.openxmlformats.org/officeDocument/2006/relationships/hyperlink" Id="rId71"/>
    <Relationship TargetMode="External" Target="https://www.legis.iowa.gov/docs/iac/rule/441.76.14.pdf" Type="http://schemas.openxmlformats.org/officeDocument/2006/relationships/hyperlink" Id="rId72"/>
    <Relationship TargetMode="External" Target="https://www.legis.iowa.gov/docs/iac/rule/441.76.13.pdf" Type="http://schemas.openxmlformats.org/officeDocument/2006/relationships/hyperlink" Id="rId73"/>
    <Relationship TargetMode="External" Target="https://www.legis.iowa.gov/docs/iac/rule/441.75.1.pdf" Type="http://schemas.openxmlformats.org/officeDocument/2006/relationships/hyperlink" Id="rId74"/>
    <Relationship TargetMode="External" Target="https://www.legis.iowa.gov/docs/iac/rule/441.76.15.pdf" Type="http://schemas.openxmlformats.org/officeDocument/2006/relationships/hyperlink" Id="rId75"/>
    <Relationship TargetMode="External" Target="https://www.legis.iowa.gov/docs/iac/rule/441.76.16.pdf" Type="http://schemas.openxmlformats.org/officeDocument/2006/relationships/hyperlink" Id="rId76"/>
    <Relationship TargetMode="External" Target="https://www.legis.iowa.gov/docs/iac/rule/441.76.16.pdf" Type="http://schemas.openxmlformats.org/officeDocument/2006/relationships/hyperlink" Id="rId77"/>
    <Relationship TargetMode="External" Target="https://www.legis.iowa.gov/docs/iac/chapter/441.75.pdf" Type="http://schemas.openxmlformats.org/officeDocument/2006/relationships/hyperlink" Id="rId78"/>
    <Relationship TargetMode="External" Target="https://www.legis.iowa.gov/docs/iac/rule/441.16.2.pdf" Type="http://schemas.openxmlformats.org/officeDocument/2006/relationships/hyperlink" Id="rId79"/>
    <Relationship TargetMode="External" Target="https://www.legis.iowa.gov/docs/iac/rule/441.76.12.pdf" Type="http://schemas.openxmlformats.org/officeDocument/2006/relationships/hyperlink" Id="rId80"/>
    <Relationship TargetMode="External" Target="https://www.legis.iowa.gov/docs/iac/rule/441.75.6.pdf" Type="http://schemas.openxmlformats.org/officeDocument/2006/relationships/hyperlink" Id="rId81"/>
    <Relationship TargetMode="External" Target="https://www.legis.iowa.gov/docs/iac/rule/441.75.6.pdf" Type="http://schemas.openxmlformats.org/officeDocument/2006/relationships/hyperlink" Id="rId82"/>
    <Relationship TargetMode="External" Target="https://www.legis.iowa.gov/docs/iac/rule/441.76.17.pdf" Type="http://schemas.openxmlformats.org/officeDocument/2006/relationships/hyperlink" Id="rId83"/>
    <Relationship TargetMode="External" Target="https://www.legis.iowa.gov/docs/iac/rule/441.76.8.pdf" Type="http://schemas.openxmlformats.org/officeDocument/2006/relationships/hyperlink" Id="rId84"/>
    <Relationship TargetMode="External" Target="https://www.legis.iowa.gov/docs/iac/rule/441.76.14.pdf" Type="http://schemas.openxmlformats.org/officeDocument/2006/relationships/hyperlink" Id="rId85"/>
    <Relationship TargetMode="External" Target="https://www.legis.iowa.gov/docs/iac/rule/441.76.16.pdf" Type="http://schemas.openxmlformats.org/officeDocument/2006/relationships/hyperlink" Id="rId86"/>
    <Relationship TargetMode="External" Target="https://www.legis.iowa.gov/docs/iac/rule/441.76.14.pdf" Type="http://schemas.openxmlformats.org/officeDocument/2006/relationships/hyperlink" Id="rId87"/>
    <Relationship TargetMode="External" Target="https://www.legis.iowa.gov/docs/iac/rule/441.76.16.pdf" Type="http://schemas.openxmlformats.org/officeDocument/2006/relationships/hyperlink" Id="rId88"/>
    <Relationship TargetMode="External" Target="https://www.legis.iowa.gov/docs/ico/chapter/249A.pdf" Type="http://schemas.openxmlformats.org/officeDocument/2006/relationships/hyperlink" Id="rId89"/>
    <Relationship Target="footer.xml" Type="http://schemas.openxmlformats.org/officeDocument/2006/relationships/footer" Id="rId9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