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OFFICE OF PUBLIC GUARDIAN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441—231.1</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implements the office of public guardian as created in Iowa Code chapter </w:t>
      </w:r>
      <w:hyperlink r:id="rId5">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establishes standards and procedures for the state office of public guardian and local offices of public guardian. It also establishes the qualifications of consumers eligible for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441—231.2</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used in this chapter are as defined in Iowa Code chapter </w:t>
      </w:r>
      <w:hyperlink r:id="rId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a comprehensive, in-depth evaluation to identify an individual’s current situation, ability to function, strengths, problems, and care needs in the following major functional areas: physical health, medical care utilization, activities of daily living, instrumental activities of daily living, mental and social functioning, financial resources, physical environment, and utilization of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“fees” </w:t>
      </w:r>
      <w:r>
        <w:rPr>
          <w:rFonts w:ascii="Times New Roman" w:hAnsi="Times New Roman"/>
          <w:b w:val="false"/>
          <w:i w:val="false"/>
          <w:color w:val="000000"/>
          <w:sz w:val="22"/>
        </w:rPr>
        <w:t>means any costs assessed by the state office or a local office against a protected person or a client for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case manager” </w:t>
      </w:r>
      <w:r>
        <w:rPr>
          <w:rFonts w:ascii="Times New Roman" w:hAnsi="Times New Roman"/>
          <w:b w:val="false"/>
          <w:i w:val="false"/>
          <w:color w:val="000000"/>
          <w:sz w:val="22"/>
        </w:rPr>
        <w:t>means an employee of the state office or a local office, or a contractor of a local office, who provides public guardianship services to protected persons or clients or who supervises employees, contractors, or volunteers who provide public guardianship services to protected persons or clients. “Guardian case manager” does not include employees or contractors whose responsibilities are strictly administrative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activities and services offered by the office of public guardian pursuant to Iowa Code chapter </w:t>
      </w:r>
      <w:hyperlink r:id="rId8">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means any information obtained by the state or local office in the performance of its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441—231.3</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Public guardian qualifications. </w:t>
      </w:r>
      <w:r>
        <w:rPr>
          <w:rFonts w:ascii="Times New Roman" w:hAnsi="Times New Roman"/>
          <w:b w:val="false"/>
          <w:i w:val="false"/>
          <w:color w:val="000000"/>
          <w:sz w:val="22"/>
        </w:rPr>
        <w:t>All public guardians shall have graduated from an accredited four-year college or university or shall have an equivalent combination of education and full-time equivalent work experience working with older adults, people with disabilities, or people overcoming social, economic, psychological or health problems. All guardian case managers shall be certified by the Center for Guardianship Certification within 12 months of assuming duties as a guardian case manager. This certification shall be kept current while the person is serving as a guardian case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441—231.4</w:t>
      </w:r>
      <w:r>
        <w:rPr>
          <w:rFonts w:ascii="Times New Roman" w:hAnsi="Times New Roman"/>
          <w:b/>
          <w:i w:val="false"/>
          <w:color w:val="000000"/>
          <w:sz w:val="22"/>
        </w:rPr>
        <w:t xml:space="preserve">(231E,633) </w:t>
      </w:r>
      <w:r>
        <w:rPr>
          <w:rFonts w:ascii="Times New Roman" w:hAnsi="Times New Roman"/>
          <w:b/>
          <w:i w:val="false"/>
          <w:color w:val="000000"/>
          <w:sz w:val="22"/>
        </w:rPr>
        <w:t xml:space="preserve">Ethics and standards of practice. </w:t>
      </w:r>
      <w:r>
        <w:rPr>
          <w:rFonts w:ascii="Times New Roman" w:hAnsi="Times New Roman"/>
          <w:b w:val="false"/>
          <w:i w:val="false"/>
          <w:color w:val="000000"/>
          <w:sz w:val="22"/>
        </w:rPr>
        <w:t>The state office adopts the National Guardianship Association Standards of Practice adopted in 2000, and revised in 2022, and as amended to October 1, 2025, as a statement of the best practices and the highest quality of practice for persons serving as guardians or conservators. The adoption of standards of practice in this document is not intended to amend or diminish the statutory scheme but rather to supplement and enhance the understanding of the statutory obligations to be met by public guardians when serving as a public guardian. Upon appointment to serve a protected person or client, the public guardian shall perform all duties imposed by the court or other entity having jurisdiction and imposed by applicable law and, as appropriate, shall utilize standards found in the National Guardianship Association Standards of Practice as amended to October 1, 2025. Representative payees will adhere to the standards of the Social Security Administration, as well as any service contracts or grants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441—231.5</w:t>
      </w:r>
      <w:r>
        <w:rPr>
          <w:rFonts w:ascii="Times New Roman" w:hAnsi="Times New Roman"/>
          <w:b/>
          <w:i w:val="false"/>
          <w:color w:val="000000"/>
          <w:sz w:val="22"/>
        </w:rPr>
        <w:t xml:space="preserve">(231E,633) </w:t>
      </w:r>
      <w:r>
        <w:rPr>
          <w:rFonts w:ascii="Times New Roman" w:hAnsi="Times New Roman"/>
          <w:b/>
          <w:i w:val="false"/>
          <w:color w:val="000000"/>
          <w:sz w:val="22"/>
        </w:rPr>
        <w:t xml:space="preserve">Staffing ratio. </w:t>
      </w:r>
      <w:r>
        <w:rPr>
          <w:rFonts w:ascii="Times New Roman" w:hAnsi="Times New Roman"/>
          <w:b w:val="false"/>
          <w:i w:val="false"/>
          <w:color w:val="000000"/>
          <w:sz w:val="22"/>
        </w:rPr>
        <w:t>The state office or a local office will be responsible for no more than 40 protected persons per full-time equivalent guardian case manager at any one time. In the state office’s sole discretion, the state office or a local office may exceed staffing ratios only under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priority situation exists as defined in subrule </w:t>
      </w:r>
      <w:hyperlink r:id="rId9">
        <w:r>
          <w:rPr>
            <w:rStyle w:val="Hyperlink"/>
            <w:rFonts w:ascii="Times New Roman" w:hAnsi="Times New Roman"/>
            <w:b w:val="false"/>
            <w:i w:val="false"/>
            <w:color w:val="000000"/>
            <w:sz w:val="22"/>
          </w:rPr>
          <w:t>231.7(2)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Acceptance of case(s) will not adversely affect services to current protected persons or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441—231.6</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A conflict of interest arises when the state office or a local office serving a protected person or client has any personal or departmental interest that is or may be perceived as self-serving or adverse to the position or best interest of the protected person or client. When assigning the state office or a local office, all reasonable efforts shall be made to avoid a conflict of interest or the appearance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The assigned state office or local office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direct services to the protected person or client receiving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any transaction, take any action, or make any decision related to the protected person’s or client’s finances that would benefit the state office or a local office; any of the state office’s or a local office’s employees, volunteers, or contractors; or any relatives of any of the state office’s or a local office’s employees, volunteers,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 friends or family to provide services to the protected person or client for a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 or accept incentives from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shall be independent from all service providers, thus ensuring that the public guardian remains free to challenge inappropriate or poorly delivered services and to advocate on behalf of the protected person or client.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441—231.7</w:t>
      </w:r>
      <w:r>
        <w:rPr>
          <w:rFonts w:ascii="Times New Roman" w:hAnsi="Times New Roman"/>
          <w:b/>
          <w:i w:val="false"/>
          <w:color w:val="000000"/>
          <w:sz w:val="22"/>
        </w:rPr>
        <w:t xml:space="preserve">(231E,633) </w:t>
      </w:r>
      <w:r>
        <w:rPr>
          <w:rFonts w:ascii="Times New Roman" w:hAnsi="Times New Roman"/>
          <w:b/>
          <w:i w:val="false"/>
          <w:color w:val="000000"/>
          <w:sz w:val="22"/>
        </w:rPr>
        <w:t xml:space="preserve">Individuals eligible for services. </w:t>
      </w:r>
      <w:r>
        <w:rPr>
          <w:rFonts w:ascii="Times New Roman" w:hAnsi="Times New Roman"/>
          <w:b w:val="false"/>
          <w:i w:val="false"/>
          <w:color w:val="000000"/>
          <w:sz w:val="22"/>
        </w:rPr>
        <w:t xml:space="preserve">The office of public guardian will seek to restrict appointments to only those necessary. The state office or a local office will not accept an appointment based upon a voluntary petition unless that appointment is as a successor guardian or conservator and the court has, after notice and hearing, found by clear and convincing evidence that the protected person meets the legal standard for appointment of a guardian in Iowa Code section </w:t>
      </w:r>
      <w:hyperlink r:id="rId10">
        <w:r>
          <w:rPr>
            <w:rStyle w:val="Hyperlink"/>
            <w:rFonts w:ascii="Times New Roman" w:hAnsi="Times New Roman"/>
            <w:b w:val="false"/>
            <w:i w:val="false"/>
            <w:color w:val="000000"/>
            <w:sz w:val="22"/>
          </w:rPr>
          <w:t>633.552</w:t>
        </w:r>
      </w:hyperlink>
      <w:r>
        <w:rPr>
          <w:rFonts w:ascii="Times New Roman" w:hAnsi="Times New Roman"/>
          <w:b w:val="false"/>
          <w:i w:val="false"/>
          <w:color w:val="000000"/>
          <w:sz w:val="22"/>
        </w:rPr>
        <w:t xml:space="preserve">, the legal standard for appointment of a conservator in Iowa Code section </w:t>
      </w:r>
      <w:hyperlink r:id="rId11">
        <w:r>
          <w:rPr>
            <w:rStyle w:val="Hyperlink"/>
            <w:rFonts w:ascii="Times New Roman" w:hAnsi="Times New Roman"/>
            <w:b w:val="false"/>
            <w:i w:val="false"/>
            <w:color w:val="000000"/>
            <w:sz w:val="22"/>
          </w:rPr>
          <w:t>633.553</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231.7(1)</w:t>
      </w:r>
      <w:r>
        <w:rPr>
          <w:rFonts w:ascii="Times New Roman" w:hAnsi="Times New Roman"/>
          <w:b w:val="false"/>
          <w:i w:val="false"/>
          <w:color w:val="000000"/>
          <w:sz w:val="22"/>
        </w:rPr>
        <w:t> </w:t>
      </w:r>
      <w:r>
        <w:rPr>
          <w:rFonts w:ascii="Times New Roman" w:hAnsi="Times New Roman"/>
          <w:b w:val="false"/>
          <w:i w:val="false"/>
          <w:color w:val="000000"/>
          <w:sz w:val="22"/>
        </w:rPr>
        <w:t>In order to qualify for services, an individual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aged 18 or older or is at least 17 years and six months of age for appointment of a guardian or conservator on a standby basis for a minor approaching majority pursuant to Iowa Code section </w:t>
      </w:r>
      <w:hyperlink r:id="rId12">
        <w:r>
          <w:rPr>
            <w:rStyle w:val="Hyperlink"/>
            <w:rFonts w:ascii="Times New Roman" w:hAnsi="Times New Roman"/>
            <w:b w:val="false"/>
            <w:i w:val="false"/>
            <w:color w:val="000000"/>
            <w:sz w:val="22"/>
          </w:rPr>
          <w:t>633.567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have a suitable individual or appropriate entity willing and able to serve as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“incompetent” as defined in Iowa Code section </w:t>
      </w:r>
      <w:hyperlink r:id="rId13">
        <w:r>
          <w:rPr>
            <w:rStyle w:val="Hyperlink"/>
            <w:rFonts w:ascii="Times New Roman" w:hAnsi="Times New Roman"/>
            <w:b w:val="false"/>
            <w:i w:val="false"/>
            <w:color w:val="000000"/>
            <w:sz w:val="22"/>
          </w:rPr>
          <w:t>633.3(25)</w:t>
        </w:r>
      </w:hyperlink>
      <w:r>
        <w:rPr>
          <w:rFonts w:ascii="Times New Roman" w:hAnsi="Times New Roman"/>
          <w:b w:val="false"/>
          <w:i w:val="false"/>
          <w:color w:val="000000"/>
          <w:sz w:val="22"/>
        </w:rPr>
        <w:t xml:space="preserve"> (for appointment of a guardian or conservator) or is incapable of managing social security or supplemental security income (SSI) payments as determined by the Social Security Administration (for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an individual for whom guardianship, conservatorship, or representative payee services are the least restrictive means of meeting the individual’s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viable plan for improving the care and safety of the individual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231.7(2)</w:t>
      </w:r>
      <w:r>
        <w:rPr>
          <w:rFonts w:ascii="Times New Roman" w:hAnsi="Times New Roman"/>
          <w:b w:val="false"/>
          <w:i w:val="false"/>
          <w:color w:val="000000"/>
          <w:sz w:val="22"/>
        </w:rPr>
        <w:t> </w:t>
      </w:r>
      <w:r>
        <w:rPr>
          <w:rFonts w:ascii="Times New Roman" w:hAnsi="Times New Roman"/>
          <w:b w:val="false"/>
          <w:i w:val="false"/>
          <w:color w:val="000000"/>
          <w:sz w:val="22"/>
        </w:rPr>
        <w:t>The following cases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involving abuse, neglect or exploitation that public guardianship services can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in which a critical medical decision must be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situation that may cause serious or irreparable harm to the individual’s mental or physical health or finances.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441—231.8</w:t>
      </w:r>
      <w:r>
        <w:rPr>
          <w:rFonts w:ascii="Times New Roman" w:hAnsi="Times New Roman"/>
          <w:b/>
          <w:i w:val="false"/>
          <w:color w:val="000000"/>
          <w:sz w:val="22"/>
        </w:rPr>
        <w:t xml:space="preserve">(231E,633) </w:t>
      </w:r>
      <w:r>
        <w:rPr>
          <w:rFonts w:ascii="Times New Roman" w:hAnsi="Times New Roman"/>
          <w:b/>
          <w:i w:val="false"/>
          <w:color w:val="000000"/>
          <w:sz w:val="22"/>
        </w:rPr>
        <w:t xml:space="preserve">Application and intake process—guardianship, conservatorship, and representative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231.8(1)</w:t>
      </w:r>
      <w:r>
        <w:rPr>
          <w:rFonts w:ascii="Times New Roman" w:hAnsi="Times New Roman"/>
          <w:b w:val="false"/>
          <w:i w:val="false"/>
          <w:color w:val="000000"/>
          <w:sz w:val="22"/>
        </w:rPr>
        <w:t> </w:t>
      </w:r>
      <w:r>
        <w:rPr>
          <w:rFonts w:ascii="Times New Roman" w:hAnsi="Times New Roman"/>
          <w:b w:val="false"/>
          <w:i w:val="false"/>
          <w:color w:val="000000"/>
          <w:sz w:val="22"/>
        </w:rPr>
        <w:t>Any person may submit an application for services on behalf of an individual believed to be in need of public guardianship services. Applications are available on the department’s website. Incomplete applications will not be considered. Communication with the state office or a local office or the submission of an application does not guarantee eligibility for public guardianship services and does not create any type of fiduciary relationship between the state office and the individual on whose behalf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231.8(2)</w:t>
      </w:r>
      <w:r>
        <w:rPr>
          <w:rFonts w:ascii="Times New Roman" w:hAnsi="Times New Roman"/>
          <w:b w:val="false"/>
          <w:i w:val="false"/>
          <w:color w:val="000000"/>
          <w:sz w:val="22"/>
        </w:rPr>
        <w:t> </w:t>
      </w:r>
      <w:r>
        <w:rPr>
          <w:rFonts w:ascii="Times New Roman" w:hAnsi="Times New Roman"/>
          <w:b w:val="false"/>
          <w:i w:val="false"/>
          <w:color w:val="000000"/>
          <w:sz w:val="22"/>
        </w:rPr>
        <w:t>The state office will make a determination regarding eligibility of the individual and acceptance or denial of the case based on a review of the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231.8(3)</w:t>
      </w:r>
      <w:r>
        <w:rPr>
          <w:rFonts w:ascii="Times New Roman" w:hAnsi="Times New Roman"/>
          <w:b w:val="false"/>
          <w:i w:val="false"/>
          <w:color w:val="000000"/>
          <w:sz w:val="22"/>
        </w:rPr>
        <w:t> </w:t>
      </w:r>
      <w:r>
        <w:rPr>
          <w:rFonts w:ascii="Times New Roman" w:hAnsi="Times New Roman"/>
          <w:b w:val="false"/>
          <w:i w:val="false"/>
          <w:color w:val="000000"/>
          <w:sz w:val="22"/>
        </w:rPr>
        <w:t>The state office will grant or deny an application for services as soon as practicable but, in any event, within 60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231.8(4)</w:t>
      </w:r>
      <w:r>
        <w:rPr>
          <w:rFonts w:ascii="Times New Roman" w:hAnsi="Times New Roman"/>
          <w:b w:val="false"/>
          <w:i w:val="false"/>
          <w:color w:val="000000"/>
          <w:sz w:val="22"/>
        </w:rPr>
        <w:t> </w:t>
      </w:r>
      <w:r>
        <w:rPr>
          <w:rFonts w:ascii="Times New Roman" w:hAnsi="Times New Roman"/>
          <w:b w:val="false"/>
          <w:i w:val="false"/>
          <w:color w:val="000000"/>
          <w:sz w:val="22"/>
        </w:rPr>
        <w:t>Failure of the state office to grant or deny an application within the specified time period may be deemed a denial of the application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231.8(5)</w:t>
      </w:r>
      <w:r>
        <w:rPr>
          <w:rFonts w:ascii="Times New Roman" w:hAnsi="Times New Roman"/>
          <w:b w:val="false"/>
          <w:i w:val="false"/>
          <w:color w:val="000000"/>
          <w:sz w:val="22"/>
        </w:rPr>
        <w:t> </w:t>
      </w:r>
      <w:r>
        <w:rPr>
          <w:rFonts w:ascii="Times New Roman" w:hAnsi="Times New Roman"/>
          <w:b w:val="false"/>
          <w:i w:val="false"/>
          <w:color w:val="000000"/>
          <w:sz w:val="22"/>
        </w:rPr>
        <w:t>In the event that the state office or a local office does not have sufficient resources to accept new cases, the state office will place applications that are eligible for public guardianship services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Cases will be taken off the waiting list in the order in which they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Cases that meet the priority criteria outlined in subrule </w:t>
      </w:r>
      <w:hyperlink r:id="rId14">
        <w:r>
          <w:rPr>
            <w:rStyle w:val="Hyperlink"/>
            <w:rFonts w:ascii="Times New Roman" w:hAnsi="Times New Roman"/>
            <w:b w:val="false"/>
            <w:i w:val="false"/>
            <w:color w:val="000000"/>
            <w:sz w:val="22"/>
          </w:rPr>
          <w:t>231.7(2)</w:t>
        </w:r>
      </w:hyperlink>
      <w:r>
        <w:rPr>
          <w:rFonts w:ascii="Times New Roman" w:hAnsi="Times New Roman"/>
          <w:b w:val="false"/>
          <w:i w:val="false"/>
          <w:color w:val="000000"/>
          <w:sz w:val="22"/>
        </w:rPr>
        <w:t xml:space="preserve"> will be moved to the top of the waiting list and will be taken off the waiting list in the order in which they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office or a local office will only file a petition to be appointed as guardian or conservator of an eligible individual if there is no person or entity that has an interest in the welfare of the adult who could file the petition pursuant to Iowa Code section </w:t>
      </w:r>
      <w:hyperlink r:id="rId15">
        <w:r>
          <w:rPr>
            <w:rStyle w:val="Hyperlink"/>
            <w:rFonts w:ascii="Times New Roman" w:hAnsi="Times New Roman"/>
            <w:b w:val="false"/>
            <w:i w:val="false"/>
            <w:color w:val="000000"/>
            <w:sz w:val="22"/>
          </w:rPr>
          <w:t>633.556(1)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441—231.9</w:t>
      </w:r>
      <w:r>
        <w:rPr>
          <w:rFonts w:ascii="Times New Roman" w:hAnsi="Times New Roman"/>
          <w:b/>
          <w:i w:val="false"/>
          <w:color w:val="000000"/>
          <w:sz w:val="22"/>
        </w:rPr>
        <w:t xml:space="preserve">(231E,633) </w:t>
      </w:r>
      <w:r>
        <w:rPr>
          <w:rFonts w:ascii="Times New Roman" w:hAnsi="Times New Roman"/>
          <w:b/>
          <w:i w:val="false"/>
          <w:color w:val="000000"/>
          <w:sz w:val="22"/>
        </w:rPr>
        <w:t xml:space="preserve">Case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231.9(1)</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will establish a case record for each protected person or client the state office or a local office is appointed to serve. At a minimum, the case record must contain demographic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the evaluations, medical records, and updates,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financial management folder containing an inventory, an individual financial management plan, a record of all financial transactions made on behalf of the protected person or client by the public guardian, copies of receipts for all expenditures made by the public guardian on behalf of the protected person or client, and copies of all other documents pertaining to the protected person or client’s financial situation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Itemized statements of costs incurred in the provision of services for which the public guardian received court-authorized reimbursement directly from the protected person or client’s estate;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case records maintained by the public guardian shall be confidential as provided in Iowa Code section </w:t>
      </w:r>
      <w:hyperlink r:id="rId16">
        <w:r>
          <w:rPr>
            <w:rStyle w:val="Hyperlink"/>
            <w:rFonts w:ascii="Times New Roman" w:hAnsi="Times New Roman"/>
            <w:b w:val="false"/>
            <w:i w:val="false"/>
            <w:color w:val="000000"/>
            <w:sz w:val="22"/>
          </w:rPr>
          <w:t>231E.4(6)</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441—231.10</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Notwithstanding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following provisions shall apply to records obtained by public guardians in the course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rule or law, records and information of the state office of public guardian are governed by </w:t>
      </w:r>
      <w:hyperlink r:id="rId18">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obtained as part of an application for public guardianship services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more than one application for public guardianship services is submitted on behalf of the same individual, the state office may disclose the following information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any other application submitted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status of the other application or applications, including copies of any notices sent to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disclose the existence of an application and information contained in an application to family members, service providers, case managers, or others named in an application for public guardianship services in order to gather supplemental information necessary to determine eligibility for public guardianship services or to attempt to locate an individual for whom an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office may release records and information obtained as part of an application for public guardianship services to a local office of public guardian in anticipation of the local office providing public guardianship services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about a protected person or client obtained or maintained for use by the state office or a local office of public guardian are confidential. Once appointed as an individual’s guardian, conservator, or representative payee, the state office or a local office may, at the state office’s or a local office’s sole discretion, exercise the authority granted by the court or federal agency to obtain, disclose, or consent to the release of confidential records or information about the protected person or client if doing so is necessary and in the best interest of the protected person or client. The state office or a local office will obtain the written consent of the protected person or client or the person’s or client’s legal representative prior to obtaining or disclosing confidential records or information outside the scope of the state office’s or a local office’s authority. Disclosure of a record or information under this rule does not affect the confidential nature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may be redacted so that personally identifiable information is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231.10(5)</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enter into contracts or agreements with public or private entities in order to carry out the state office’s or a local office’s official duties. Information necessary to carry out these duties may be shared with these entities.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441—231.11</w:t>
      </w:r>
      <w:r>
        <w:rPr>
          <w:rFonts w:ascii="Times New Roman" w:hAnsi="Times New Roman"/>
          <w:b/>
          <w:i w:val="false"/>
          <w:color w:val="000000"/>
          <w:sz w:val="22"/>
        </w:rPr>
        <w:t xml:space="preserve">(231E,633) </w:t>
      </w:r>
      <w:r>
        <w:rPr>
          <w:rFonts w:ascii="Times New Roman" w:hAnsi="Times New Roman"/>
          <w:b/>
          <w:i w:val="false"/>
          <w:color w:val="000000"/>
          <w:sz w:val="22"/>
        </w:rPr>
        <w:t xml:space="preserve">Termination or limitation. </w:t>
      </w:r>
      <w:r>
        <w:rPr>
          <w:rFonts w:ascii="Times New Roman" w:hAnsi="Times New Roman"/>
          <w:b w:val="false"/>
          <w:i w:val="false"/>
          <w:color w:val="000000"/>
          <w:sz w:val="22"/>
        </w:rPr>
        <w:t>Either a local office or the state office may seek the termination or limitation of a local office’s duties under circumstances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 guardianship services are no longer needed or do not benefit the protected person or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protected person’s or client’s assets allow for hiring a paid guardianship or conservatorship service provider;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conflict of interest or the appearance of a conflict of interest arises;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state or a local office lacks adequate staff or financial resources;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protected person or client moves outside the state or outside the local office’s service area;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Public guardianship is no longer the last resort for assistance;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contract between the state office and a local office is terminated by either party and there is no other local office that can be appointed as a successor;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Termination of the program by law; or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Other circumstances that indicate a need for termination or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441—231.12</w:t>
      </w:r>
      <w:r>
        <w:rPr>
          <w:rFonts w:ascii="Times New Roman" w:hAnsi="Times New Roman"/>
          <w:b/>
          <w:i w:val="false"/>
          <w:color w:val="000000"/>
          <w:sz w:val="22"/>
        </w:rPr>
        <w:t xml:space="preserve">(231E,633) </w:t>
      </w:r>
      <w:r>
        <w:rPr>
          <w:rFonts w:ascii="Times New Roman" w:hAnsi="Times New Roman"/>
          <w:b/>
          <w:i w:val="false"/>
          <w:color w:val="000000"/>
          <w:sz w:val="22"/>
        </w:rPr>
        <w:t xml:space="preserve">Service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231.12(1)</w:t>
      </w:r>
      <w:r>
        <w:rPr>
          <w:rFonts w:ascii="Times New Roman" w:hAnsi="Times New Roman"/>
          <w:b w:val="false"/>
          <w:i w:val="false"/>
          <w:color w:val="000000"/>
          <w:sz w:val="22"/>
        </w:rPr>
        <w:t> </w:t>
      </w:r>
      <w:r>
        <w:rPr>
          <w:rFonts w:ascii="Times New Roman" w:hAnsi="Times New Roman"/>
          <w:b w:val="false"/>
          <w:i w:val="false"/>
          <w:color w:val="000000"/>
          <w:sz w:val="22"/>
        </w:rPr>
        <w:t>The state office and a local office shall be entitled to reasonable compensation for their public guardianship services as determined by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compensation shall not exceed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Collection of fees may be adjusted or waived based upon the ability of the protected person or client to pay, upon whether financial hardship to the protected person or client would result, or upon a finding that collection of such fees is not economically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office may collect a fee from the estate of a deceased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231.12(2)</w:t>
      </w:r>
      <w:r>
        <w:rPr>
          <w:rFonts w:ascii="Times New Roman" w:hAnsi="Times New Roman"/>
          <w:b w:val="false"/>
          <w:i w:val="false"/>
          <w:color w:val="000000"/>
          <w:sz w:val="22"/>
        </w:rPr>
        <w:t> </w:t>
      </w:r>
      <w:r>
        <w:rPr>
          <w:rFonts w:ascii="Times New Roman" w:hAnsi="Times New Roman"/>
          <w:b w:val="false"/>
          <w:i w:val="false"/>
          <w:color w:val="000000"/>
          <w:sz w:val="22"/>
        </w:rPr>
        <w:t>Fees for guardianship and conservatorship services provided by the state office will be assessed according to the following fee schedule: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283"/>
        <w:gridCol w:w="2907"/>
      </w:tblGrid>
      <w:tr>
        <w:trPr>
          <w:trHeight w:val="285"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Action or Responsibility</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Fee</w:t>
            </w:r>
          </w:p>
        </w:tc>
      </w:tr>
      <w:tr>
        <w:trPr>
          <w:trHeight w:val="48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One-time case opening: </w:t>
            </w:r>
            <w:r>
              <w:br/>
            </w:r>
            <w:r>
              <w:rPr>
                <w:rFonts w:ascii="Times New Roman" w:hAnsi="Times New Roman"/>
                <w:b w:val="false"/>
                <w:i w:val="false"/>
                <w:color w:val="000000"/>
                <w:sz w:val="20"/>
              </w:rPr>
              <w:t>Guardianship</w:t>
            </w:r>
          </w:p>
        </w:tc>
        <w:tc>
          <w:tcPr>
            <w:tcW w:w="2907" w:type="dxa"/>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20"/>
              </w:rPr>
              <w:t>$200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Conservatorship</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w:t>
            </w:r>
          </w:p>
        </w:tc>
      </w:tr>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Guardian and conservatorship</w:t>
            </w:r>
          </w:p>
        </w:tc>
        <w:tc>
          <w:tcPr>
            <w:tcW w:w="2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w:t>
            </w:r>
          </w:p>
        </w:tc>
      </w:tr>
      <w:tr>
        <w:trPr>
          <w:trHeight w:val="27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Monthly guardianship and/or conservatorship services.</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value of liquid assets:</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$1,500 - $9,999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$10,000 - $19,999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$20,000 - $29,999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$30,000 - $39,999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$175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$40,000 - $49,999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$50,000 - $59,999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$60,000 - $69,999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$70,000 - $79,999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$80,000 - $89,999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$90,000 - $99,999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$325</w:t>
            </w:r>
          </w:p>
        </w:tc>
      </w:tr>
      <w:tr>
        <w:trPr>
          <w:trHeight w:val="27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$100,000 or above</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231.12(3)</w:t>
      </w:r>
      <w:r>
        <w:rPr>
          <w:rFonts w:ascii="Times New Roman" w:hAnsi="Times New Roman"/>
          <w:b w:val="false"/>
          <w:i w:val="false"/>
          <w:color w:val="000000"/>
          <w:sz w:val="22"/>
        </w:rPr>
        <w:t> </w:t>
      </w:r>
      <w:r>
        <w:rPr>
          <w:rFonts w:ascii="Times New Roman" w:hAnsi="Times New Roman"/>
          <w:b w:val="false"/>
          <w:i w:val="false"/>
          <w:color w:val="000000"/>
          <w:sz w:val="22"/>
        </w:rPr>
        <w:t>Fees for guardianship and conservatorship services provided by a local office will be assessed at the rates established by contract between the state office and a local office. Contracts between the state office and local offices are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231.12(4)</w:t>
      </w:r>
      <w:r>
        <w:rPr>
          <w:rFonts w:ascii="Times New Roman" w:hAnsi="Times New Roman"/>
          <w:b w:val="false"/>
          <w:i w:val="false"/>
          <w:color w:val="000000"/>
          <w:sz w:val="22"/>
        </w:rPr>
        <w:t> </w:t>
      </w:r>
      <w:r>
        <w:rPr>
          <w:rFonts w:ascii="Times New Roman" w:hAnsi="Times New Roman"/>
          <w:b w:val="false"/>
          <w:i w:val="false"/>
          <w:color w:val="000000"/>
          <w:sz w:val="22"/>
        </w:rPr>
        <w:t>Fees for representative payee services will be as established by the federal governmental agency that appoints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231.12(5)</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the state office or a local office may collect fees pursuant to court order for other actual, necessary and extraordinary services or expenses, including legal fees. Necessary and extraordinary services or expenses may include but are not limited to services or expenses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Recovering real or personal property or funds belonging to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Bringing or defending against a suit or claim on behalf of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Challenging the actions or accounting of a prior fiduciary,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 trust for the benefit of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231.12(6)</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collect fees even when claims of creditors of the consumer may be compromised.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441—231.13</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Denial of services—appeal.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231.13(1)</w:t>
      </w:r>
      <w:r>
        <w:rPr>
          <w:rFonts w:ascii="Times New Roman" w:hAnsi="Times New Roman"/>
          <w:b w:val="false"/>
          <w:i w:val="false"/>
          <w:color w:val="000000"/>
          <w:sz w:val="22"/>
        </w:rPr>
        <w:t> </w:t>
      </w:r>
      <w:r>
        <w:rPr>
          <w:rFonts w:ascii="Times New Roman" w:hAnsi="Times New Roman"/>
          <w:b w:val="false"/>
          <w:i w:val="false"/>
          <w:color w:val="000000"/>
          <w:sz w:val="22"/>
        </w:rPr>
        <w:t>An application for services will be denied when it is determined by the state office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not aged 18 or older (or at least 17 and 6 months of age for appointment of a guardian or conservator on a standby basis for a minor approaching majority pursuant to Iowa Code section </w:t>
      </w:r>
      <w:hyperlink r:id="rId19">
        <w:r>
          <w:rPr>
            <w:rStyle w:val="Hyperlink"/>
            <w:rFonts w:ascii="Times New Roman" w:hAnsi="Times New Roman"/>
            <w:b w:val="false"/>
            <w:i w:val="false"/>
            <w:color w:val="000000"/>
            <w:sz w:val="22"/>
          </w:rPr>
          <w:t>633.567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a suitable individual or appropriate entity willing and able to serve as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adequate financial resources available to compensate a professional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not incompetent as defined in Iowa Code section </w:t>
      </w:r>
      <w:hyperlink r:id="rId20">
        <w:r>
          <w:rPr>
            <w:rStyle w:val="Hyperlink"/>
            <w:rFonts w:ascii="Times New Roman" w:hAnsi="Times New Roman"/>
            <w:b w:val="false"/>
            <w:i w:val="false"/>
            <w:color w:val="000000"/>
            <w:sz w:val="22"/>
          </w:rPr>
          <w:t>633.3(25)</w:t>
        </w:r>
      </w:hyperlink>
      <w:r>
        <w:rPr>
          <w:rFonts w:ascii="Times New Roman" w:hAnsi="Times New Roman"/>
          <w:b w:val="false"/>
          <w:i w:val="false"/>
          <w:color w:val="000000"/>
          <w:sz w:val="22"/>
        </w:rPr>
        <w:t xml:space="preserve"> (for appointment of a guardian or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 is not incapable of managing the individual’s social security or SSI payments as determined by the Social Security Administration (for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individual is not an individual for whom guardianship, conservatorship, or representative payee services are the least restrictive means of meeting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viable plan for improving the care and safety of the individual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will be provided in accordance with </w:t>
      </w:r>
      <w:hyperlink r:id="rId2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wishing to challenge a denial based on paragraph </w:t>
      </w:r>
      <w:hyperlink r:id="rId22">
        <w:r>
          <w:rPr>
            <w:rStyle w:val="Hyperlink"/>
            <w:rFonts w:ascii="Times New Roman" w:hAnsi="Times New Roman"/>
            <w:b w:val="false"/>
            <w:i w:val="false"/>
            <w:color w:val="000000"/>
            <w:sz w:val="22"/>
          </w:rPr>
          <w:t>231.13(1)</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file a petition pursuant to Iowa Code section </w:t>
      </w:r>
      <w:hyperlink r:id="rId23">
        <w:r>
          <w:rPr>
            <w:rStyle w:val="Hyperlink"/>
            <w:rFonts w:ascii="Times New Roman" w:hAnsi="Times New Roman"/>
            <w:b w:val="false"/>
            <w:i w:val="false"/>
            <w:color w:val="000000"/>
            <w:sz w:val="22"/>
          </w:rPr>
          <w:t>633.556</w:t>
        </w:r>
      </w:hyperlink>
      <w:r>
        <w:rPr>
          <w:rFonts w:ascii="Times New Roman" w:hAnsi="Times New Roman"/>
          <w:b w:val="false"/>
          <w:i w:val="false"/>
          <w:color w:val="000000"/>
          <w:sz w:val="22"/>
        </w:rPr>
        <w:t xml:space="preserve"> within 30 days of the date of the denial and give notice of the filing of the petition to the state office of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wishing to challenge a denial for any other reason listed in subrule </w:t>
      </w:r>
      <w:hyperlink r:id="rId24">
        <w:r>
          <w:rPr>
            <w:rStyle w:val="Hyperlink"/>
            <w:rFonts w:ascii="Times New Roman" w:hAnsi="Times New Roman"/>
            <w:b w:val="false"/>
            <w:i w:val="false"/>
            <w:color w:val="000000"/>
            <w:sz w:val="22"/>
          </w:rPr>
          <w:t>231.13(1)</w:t>
        </w:r>
      </w:hyperlink>
      <w:r>
        <w:rPr>
          <w:rFonts w:ascii="Times New Roman" w:hAnsi="Times New Roman"/>
          <w:b w:val="false"/>
          <w:i w:val="false"/>
          <w:color w:val="000000"/>
          <w:sz w:val="22"/>
        </w:rPr>
        <w:t xml:space="preserve"> may appeal in accordance with </w:t>
      </w:r>
      <w:hyperlink r:id="rId2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231.13(5)</w:t>
      </w:r>
      <w:r>
        <w:rPr>
          <w:rFonts w:ascii="Times New Roman" w:hAnsi="Times New Roman"/>
          <w:b w:val="false"/>
          <w:i w:val="false"/>
          <w:color w:val="000000"/>
          <w:sz w:val="22"/>
        </w:rPr>
        <w:t> </w:t>
      </w:r>
      <w:r>
        <w:rPr>
          <w:rFonts w:ascii="Times New Roman" w:hAnsi="Times New Roman"/>
          <w:b w:val="false"/>
          <w:i w:val="false"/>
          <w:color w:val="000000"/>
          <w:sz w:val="22"/>
        </w:rPr>
        <w:t>If the state office or a local office petitions to terminate services, a protected person or client may challenge that decision in the appropriate court or federal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441—231.14</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Contesting the actions of a guardian, conservator, or representative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231.14(1)</w:t>
      </w:r>
      <w:r>
        <w:rPr>
          <w:rFonts w:ascii="Times New Roman" w:hAnsi="Times New Roman"/>
          <w:b w:val="false"/>
          <w:i w:val="false"/>
          <w:color w:val="000000"/>
          <w:sz w:val="22"/>
        </w:rPr>
        <w:t> </w:t>
      </w:r>
      <w:r>
        <w:rPr>
          <w:rFonts w:ascii="Times New Roman" w:hAnsi="Times New Roman"/>
          <w:b w:val="false"/>
          <w:i w:val="false"/>
          <w:color w:val="000000"/>
          <w:sz w:val="22"/>
        </w:rPr>
        <w:t>Each local office shall develop a complaint procedure for the internal investigation and resolution of complaints. The complaint procedure shall be made available on the local office’s website. The local office will provide a copy of the complaint procedure to each protected person and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231.14(2)</w:t>
      </w:r>
      <w:r>
        <w:rPr>
          <w:rFonts w:ascii="Times New Roman" w:hAnsi="Times New Roman"/>
          <w:b w:val="false"/>
          <w:i w:val="false"/>
          <w:color w:val="000000"/>
          <w:sz w:val="22"/>
        </w:rPr>
        <w:t> </w:t>
      </w:r>
      <w:r>
        <w:rPr>
          <w:rFonts w:ascii="Times New Roman" w:hAnsi="Times New Roman"/>
          <w:b w:val="false"/>
          <w:i w:val="false"/>
          <w:color w:val="000000"/>
          <w:sz w:val="22"/>
        </w:rPr>
        <w:t>If a complaint is not resolved by the local office to the satisfaction of the complainant, the complainant may express the complainant’s concerns to the state office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231.14(3)</w:t>
      </w:r>
      <w:r>
        <w:rPr>
          <w:rFonts w:ascii="Times New Roman" w:hAnsi="Times New Roman"/>
          <w:b w:val="false"/>
          <w:i w:val="false"/>
          <w:color w:val="000000"/>
          <w:sz w:val="22"/>
        </w:rPr>
        <w:t> </w:t>
      </w:r>
      <w:r>
        <w:rPr>
          <w:rFonts w:ascii="Times New Roman" w:hAnsi="Times New Roman"/>
          <w:b w:val="false"/>
          <w:i w:val="false"/>
          <w:color w:val="000000"/>
          <w:sz w:val="22"/>
        </w:rPr>
        <w:t>The state office will advise the complainant that the complainant may also raise any concerns with the court or with the federal governmental agency with oversight of the representative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9497C</w:t>
      </w:r>
      <w:r>
        <w:rPr>
          <w:rFonts w:ascii="Times New Roman" w:hAnsi="Times New Roman"/>
          <w:b w:val="false"/>
          <w:i w:val="false"/>
          <w:color w:val="000000"/>
          <w:sz w:val="21"/>
        </w:rPr>
        <w:t xml:space="preserve"> (Notice ARC 9380C, IAB 6/25/25)</w:t>
      </w:r>
      <w:r>
        <w:rPr>
          <w:rFonts w:ascii="Times New Roman" w:hAnsi="Times New Roman"/>
          <w:b w:val="false"/>
          <w:i w:val="false"/>
          <w:color w:val="000000"/>
          <w:sz w:val="21"/>
        </w:rPr>
        <w:t>, IAB 8/20/25, effective 10/1/25]</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E.pdf" Type="http://schemas.openxmlformats.org/officeDocument/2006/relationships/hyperlink" Id="rId5"/>
    <Relationship TargetMode="External" Target="https://www.legis.iowa.gov/docs/ico/chapter/231E.pdf" Type="http://schemas.openxmlformats.org/officeDocument/2006/relationships/hyperlink" Id="rId6"/>
    <Relationship TargetMode="External" Target="https://www.legis.iowa.gov/docs/ico/chapter/633.pdf" Type="http://schemas.openxmlformats.org/officeDocument/2006/relationships/hyperlink" Id="rId7"/>
    <Relationship TargetMode="External" Target="https://www.legis.iowa.gov/docs/ico/chapter/231E.pdf" Type="http://schemas.openxmlformats.org/officeDocument/2006/relationships/hyperlink" Id="rId8"/>
    <Relationship TargetMode="External" Target="https://www.legis.iowa.gov/docs/iac/rule/441.231.7.pdf" Type="http://schemas.openxmlformats.org/officeDocument/2006/relationships/hyperlink" Id="rId9"/>
    <Relationship TargetMode="External" Target="https://www.legis.iowa.gov/docs/ico/chapter/633.552.pdf" Type="http://schemas.openxmlformats.org/officeDocument/2006/relationships/hyperlink" Id="rId10"/>
    <Relationship TargetMode="External" Target="https://www.legis.iowa.gov/docs/ico/chapter/633.553.pdf" Type="http://schemas.openxmlformats.org/officeDocument/2006/relationships/hyperlink" Id="rId11"/>
    <Relationship TargetMode="External" Target="https://www.legis.iowa.gov/docs/ico/chapter/633.567.pdf" Type="http://schemas.openxmlformats.org/officeDocument/2006/relationships/hyperlink" Id="rId12"/>
    <Relationship TargetMode="External" Target="https://www.legis.iowa.gov/docs/ico/chapter/633.3.pdf" Type="http://schemas.openxmlformats.org/officeDocument/2006/relationships/hyperlink" Id="rId13"/>
    <Relationship TargetMode="External" Target="https://www.legis.iowa.gov/docs/iac/rule/441.231.7.pdf" Type="http://schemas.openxmlformats.org/officeDocument/2006/relationships/hyperlink" Id="rId14"/>
    <Relationship TargetMode="External" Target="https://www.legis.iowa.gov/docs/ico/chapter/633.556.pdf" Type="http://schemas.openxmlformats.org/officeDocument/2006/relationships/hyperlink" Id="rId15"/>
    <Relationship TargetMode="External" Target="https://www.legis.iowa.gov/docs/ico/chapter/231E.4.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chapter/441.9.pdf" Type="http://schemas.openxmlformats.org/officeDocument/2006/relationships/hyperlink" Id="rId18"/>
    <Relationship TargetMode="External" Target="https://www.legis.iowa.gov/docs/ico/chapter/633.567.pdf" Type="http://schemas.openxmlformats.org/officeDocument/2006/relationships/hyperlink" Id="rId19"/>
    <Relationship TargetMode="External" Target="https://www.legis.iowa.gov/docs/ico/chapter/633.3.pdf" Type="http://schemas.openxmlformats.org/officeDocument/2006/relationships/hyperlink" Id="rId20"/>
    <Relationship TargetMode="External" Target="https://www.legis.iowa.gov/docs/iac/chapter/441.16.pdf" Type="http://schemas.openxmlformats.org/officeDocument/2006/relationships/hyperlink" Id="rId21"/>
    <Relationship TargetMode="External" Target="https://www.legis.iowa.gov/docs/iac/rule/441.231.13.pdf" Type="http://schemas.openxmlformats.org/officeDocument/2006/relationships/hyperlink" Id="rId22"/>
    <Relationship TargetMode="External" Target="https://www.legis.iowa.gov/docs/ico/chapter/633.556.pdf" Type="http://schemas.openxmlformats.org/officeDocument/2006/relationships/hyperlink" Id="rId23"/>
    <Relationship TargetMode="External" Target="https://www.legis.iowa.gov/docs/iac/rule/441.231.13.pdf" Type="http://schemas.openxmlformats.org/officeDocument/2006/relationships/hyperlink" Id="rId24"/>
    <Relationship TargetMode="External" Target="https://www.legis.iowa.gov/docs/iac/chapter/441.7.pdf" Type="http://schemas.openxmlformats.org/officeDocument/2006/relationships/hyperlink" Id="rId25"/>
    <Relationship TargetMode="External" Target="https://www.legis.iowa.gov/docs/ico/chapter/231E.pdf" Type="http://schemas.openxmlformats.org/officeDocument/2006/relationships/hyperlink" Id="rId26"/>
    <Relationship TargetMode="External" Target="https://www.legis.iowa.gov/docs/ico/chapter/633.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