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230</w:t>
      </w:r>
    </w:p>
    <w:p>
      <w:pPr>
        <w:spacing w:before="0" w:after="0"/>
        <w:ind w:left="120"/>
        <w:jc w:val="center"/>
      </w:pPr>
      <w:r>
        <w:rPr>
          <w:rFonts w:ascii="Times New Roman" w:hAnsi="Times New Roman"/>
          <w:b w:val="false"/>
          <w:i w:val="false"/>
          <w:color w:val="000000"/>
          <w:sz w:val="21"/>
        </w:rPr>
        <w:t>LONG-TERM CARE OMBUDSMAN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441—230.1</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volunteer” </w:t>
      </w:r>
      <w:r>
        <w:rPr>
          <w:rFonts w:ascii="Times New Roman" w:hAnsi="Times New Roman"/>
          <w:b w:val="false"/>
          <w:i w:val="false"/>
          <w:color w:val="000000"/>
          <w:sz w:val="22"/>
        </w:rPr>
        <w:t xml:space="preserve">means a certified volunteer long-term care ombudsman as authorized under Iowa Code section </w:t>
      </w:r>
      <w:hyperlink r:id="rId5">
        <w:r>
          <w:rPr>
            <w:rStyle w:val="Hyperlink"/>
            <w:rFonts w:ascii="Times New Roman" w:hAnsi="Times New Roman"/>
            <w:b w:val="false"/>
            <w:i w:val="false"/>
            <w:color w:val="000000"/>
            <w:sz w:val="22"/>
          </w:rPr>
          <w:t>231.45</w:t>
        </w:r>
      </w:hyperlink>
      <w:r>
        <w:rPr>
          <w:rFonts w:ascii="Times New Roman" w:hAnsi="Times New Roman"/>
          <w:b w:val="false"/>
          <w:i w:val="false"/>
          <w:color w:val="000000"/>
          <w:sz w:val="22"/>
        </w:rPr>
        <w:t>. A certified volunteer is considered a representative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Act” </w:t>
      </w:r>
      <w:r>
        <w:rPr>
          <w:rFonts w:ascii="Times New Roman" w:hAnsi="Times New Roman"/>
          <w:b w:val="false"/>
          <w:i w:val="false"/>
          <w:color w:val="000000"/>
          <w:sz w:val="22"/>
        </w:rPr>
        <w:t xml:space="preserve">means the federal Older Americans Act, </w:t>
      </w:r>
      <w:r>
        <w:rPr>
          <w:rFonts w:ascii="Times New Roman" w:hAnsi="Times New Roman"/>
          <w:b w:val="false"/>
          <w:i w:val="false"/>
          <w:color w:val="000000"/>
          <w:sz w:val="22"/>
        </w:rPr>
        <w:t>42 U.S.C. §3001 et seq.</w:t>
      </w:r>
      <w:r>
        <w:rPr>
          <w:rFonts w:ascii="Times New Roman" w:hAnsi="Times New Roman"/>
          <w:b w:val="false"/>
          <w:i w:val="false"/>
          <w:color w:val="000000"/>
          <w:sz w:val="22"/>
        </w:rPr>
        <w:t>,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w:t>
      </w:r>
      <w:r>
        <w:rPr>
          <w:rFonts w:ascii="Times New Roman" w:hAnsi="Times New Roman"/>
          <w:b w:val="false"/>
          <w:i w:val="false"/>
          <w:color w:val="000000"/>
          <w:sz w:val="22"/>
        </w:rPr>
        <w:t xml:space="preserve">means the office of the state long-term care ombudsman established pursuant to the federal Act and Iowa Code section </w:t>
      </w:r>
      <w:hyperlink r:id="rId6">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“Ombudsman” </w:t>
      </w:r>
      <w:r>
        <w:rPr>
          <w:rFonts w:ascii="Times New Roman" w:hAnsi="Times New Roman"/>
          <w:b w:val="false"/>
          <w:i w:val="false"/>
          <w:color w:val="000000"/>
          <w:sz w:val="22"/>
        </w:rPr>
        <w:t>means the state long-term care ombudsman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of the office”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45 CFR §1324.1</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441—230.2</w:t>
      </w:r>
      <w:r>
        <w:rPr>
          <w:rFonts w:ascii="Times New Roman" w:hAnsi="Times New Roman"/>
          <w:b/>
          <w:i w:val="false"/>
          <w:color w:val="000000"/>
          <w:sz w:val="22"/>
        </w:rPr>
        <w:t xml:space="preserve">(231) </w:t>
      </w:r>
      <w:r>
        <w:rPr>
          <w:rFonts w:ascii="Times New Roman" w:hAnsi="Times New Roman"/>
          <w:b/>
          <w:i w:val="false"/>
          <w:color w:val="000000"/>
          <w:sz w:val="22"/>
        </w:rPr>
        <w:t xml:space="preserve">Interference. </w:t>
      </w:r>
      <w:r>
        <w:rPr>
          <w:rFonts w:ascii="Times New Roman" w:hAnsi="Times New Roman"/>
          <w:b w:val="false"/>
          <w:i w:val="false"/>
          <w:color w:val="000000"/>
          <w:sz w:val="22"/>
        </w:rPr>
        <w:t xml:space="preserve">A representative of the office who is denied access to a resident or tenant in a long-term care facility, assisted living program, or elder group home or to medical and social records while in the course of conducting official duties pursuant to Iowa Code section </w:t>
      </w:r>
      <w:hyperlink r:id="rId7">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or whose work is interfered with during the course of an investigation shall report such denial or interference to the office, which will report the interference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441—230.3</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penalties—basis. </w:t>
      </w:r>
      <w:r>
        <w:rPr>
          <w:rFonts w:ascii="Times New Roman" w:hAnsi="Times New Roman"/>
          <w:b w:val="false"/>
          <w:i w:val="false"/>
          <w:color w:val="000000"/>
          <w:sz w:val="22"/>
        </w:rPr>
        <w:t xml:space="preserve">The director, in consultation with the ombudsman, may impose a monetary civil penalty of not more than $1,500 on an officer, owner, director, or employee of a long-term care facility, assisted living program, or elder group home who intentionally prevents, interferes with, or attempts to impede the duties of the state, ombudsman, or representative of the office pursuant to Iowa Code section </w:t>
      </w:r>
      <w:hyperlink r:id="rId8">
        <w:r>
          <w:rPr>
            <w:rStyle w:val="Hyperlink"/>
            <w:rFonts w:ascii="Times New Roman" w:hAnsi="Times New Roman"/>
            <w:b w:val="false"/>
            <w:i w:val="false"/>
            <w:color w:val="000000"/>
            <w:sz w:val="22"/>
          </w:rPr>
          <w:t>231.42(8)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441—230.4</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penalties—notice of penalty. </w:t>
      </w:r>
      <w:r>
        <w:rPr>
          <w:rFonts w:ascii="Times New Roman" w:hAnsi="Times New Roman"/>
          <w:b w:val="false"/>
          <w:i w:val="false"/>
          <w:color w:val="000000"/>
          <w:sz w:val="22"/>
        </w:rPr>
        <w:t xml:space="preserve">The office will notify the officer, owner, director, or employee of a long-term care facility, assisted living program, or elder group home in writing by certified mail of the intent to impose a civil penalty pursuant to </w:t>
      </w:r>
      <w:hyperlink r:id="rId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The notice will include, at a minimum,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nature of the interference and the date the action occurred.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statutory basis for the penalty.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the penalty.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date the penalty is due.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Instructions for responding to the notice, including information on the individual’s right to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441—230.5</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penalties—appeals. </w:t>
      </w:r>
      <w:r>
        <w:rPr>
          <w:rFonts w:ascii="Times New Roman" w:hAnsi="Times New Roman"/>
          <w:b w:val="false"/>
          <w:i w:val="false"/>
          <w:color w:val="000000"/>
          <w:sz w:val="22"/>
        </w:rPr>
        <w:t xml:space="preserve">An officer, owner, director, or employee of a long-term care facility, assisted living program, or elder group home who is assessed a monetary civil penalty for interference with the official duties of a long-term care ombudsman may appeal the penalty as set forth in </w:t>
      </w:r>
      <w:hyperlink r:id="rId1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441—230.6</w:t>
      </w:r>
      <w:r>
        <w:rPr>
          <w:rFonts w:ascii="Times New Roman" w:hAnsi="Times New Roman"/>
          <w:b/>
          <w:i w:val="false"/>
          <w:color w:val="000000"/>
          <w:sz w:val="22"/>
        </w:rPr>
        <w:t xml:space="preserve">(231) </w:t>
      </w:r>
      <w:r>
        <w:rPr>
          <w:rFonts w:ascii="Times New Roman" w:hAnsi="Times New Roman"/>
          <w:b/>
          <w:i w:val="false"/>
          <w:color w:val="000000"/>
          <w:sz w:val="22"/>
        </w:rPr>
        <w:t xml:space="preserve">Certified volunteer long-term care ombudsman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230.6(1)</w:t>
      </w:r>
      <w:r>
        <w:rPr>
          <w:rFonts w:ascii="Times New Roman" w:hAnsi="Times New Roman"/>
          <w:b w:val="false"/>
          <w:i w:val="false"/>
          <w:color w:val="000000"/>
          <w:sz w:val="22"/>
        </w:rPr>
        <w:t> </w:t>
      </w:r>
      <w:r>
        <w:rPr>
          <w:rFonts w:ascii="Times New Roman" w:hAnsi="Times New Roman"/>
          <w:b w:val="false"/>
          <w:i w:val="false"/>
          <w:color w:val="000000"/>
          <w:sz w:val="22"/>
        </w:rPr>
        <w:t>Application. Any individual may apply to the office to become a certified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 forms may be accessed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forms. </w:t>
      </w:r>
      <w:r>
        <w:rPr>
          <w:rFonts w:ascii="Times New Roman" w:hAnsi="Times New Roman"/>
          <w:b w:val="false"/>
          <w:i w:val="false"/>
          <w:color w:val="000000"/>
          <w:sz w:val="22"/>
        </w:rPr>
        <w:t>Each applicant shall complete an application and submit it to the office at the address listed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230.6(2)</w:t>
      </w:r>
      <w:r>
        <w:rPr>
          <w:rFonts w:ascii="Times New Roman" w:hAnsi="Times New Roman"/>
          <w:b w:val="false"/>
          <w:i w:val="false"/>
          <w:color w:val="000000"/>
          <w:sz w:val="22"/>
        </w:rPr>
        <w:t> </w:t>
      </w:r>
      <w:r>
        <w:rPr>
          <w:rFonts w:ascii="Times New Roman" w:hAnsi="Times New Roman"/>
          <w:b w:val="false"/>
          <w:i w:val="false"/>
          <w:color w:val="000000"/>
          <w:sz w:val="22"/>
        </w:rPr>
        <w:t>Applicants shall not be accepted into the program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applicant has a conflict of interest as defined in the federal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unfavorable references, which will include a criminal background check and abuse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230.6(3)</w:t>
      </w:r>
      <w:r>
        <w:rPr>
          <w:rFonts w:ascii="Times New Roman" w:hAnsi="Times New Roman"/>
          <w:b w:val="false"/>
          <w:i w:val="false"/>
          <w:color w:val="000000"/>
          <w:sz w:val="22"/>
        </w:rPr>
        <w:t> </w:t>
      </w:r>
      <w:r>
        <w:rPr>
          <w:rFonts w:ascii="Times New Roman" w:hAnsi="Times New Roman"/>
          <w:b w:val="false"/>
          <w:i w:val="false"/>
          <w:color w:val="000000"/>
          <w:sz w:val="22"/>
        </w:rPr>
        <w:t>Training. Prior to certification, applicants must successfully complete the required training as approved by the office. Successful completion means completion of all assignments and tasks during training, demonstration of proper techniques and skills, and an understanding of the role of the certified volunteer in the long-term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230.6(4)</w:t>
      </w:r>
      <w:r>
        <w:rPr>
          <w:rFonts w:ascii="Times New Roman" w:hAnsi="Times New Roman"/>
          <w:b w:val="false"/>
          <w:i w:val="false"/>
          <w:color w:val="000000"/>
          <w:sz w:val="22"/>
        </w:rPr>
        <w:t> </w:t>
      </w:r>
      <w:r>
        <w:rPr>
          <w:rFonts w:ascii="Times New Roman" w:hAnsi="Times New Roman"/>
          <w:b w:val="false"/>
          <w:i w:val="false"/>
          <w:color w:val="000000"/>
          <w:sz w:val="22"/>
        </w:rPr>
        <w:t>Approval for certification. Final approval for certification as a certified volunteer will be made by the office and will be subject to the applicant’s successful completion of the required training. The office has the right to require that the applicant receive additional personal training prior to certification and has the right to deny certification to applicants not meeting the training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230.6(5)</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A certified volunteer will be notified in writing within 14 days following the conclusion of the training program if certification has been continued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will initially be for one year, with recertification available following the certified volunteer’s completion of a minimum of 18 hours of approved continuing education in the first year and completion of a progress review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230.6(6)</w:t>
      </w:r>
      <w:r>
        <w:rPr>
          <w:rFonts w:ascii="Times New Roman" w:hAnsi="Times New Roman"/>
          <w:b w:val="false"/>
          <w:i w:val="false"/>
          <w:color w:val="000000"/>
          <w:sz w:val="22"/>
        </w:rPr>
        <w:t> </w:t>
      </w:r>
      <w:r>
        <w:rPr>
          <w:rFonts w:ascii="Times New Roman" w:hAnsi="Times New Roman"/>
          <w:b w:val="false"/>
          <w:i w:val="false"/>
          <w:color w:val="000000"/>
          <w:sz w:val="22"/>
        </w:rPr>
        <w:t>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certified volunteers shall complete a minimum of 18 hours of approved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volunteers are responsible for reporting continuing education hours to the office or designee within 30 days following the completion of the continuing education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230.6(7)</w:t>
      </w:r>
      <w:r>
        <w:rPr>
          <w:rFonts w:ascii="Times New Roman" w:hAnsi="Times New Roman"/>
          <w:b w:val="false"/>
          <w:i w:val="false"/>
          <w:color w:val="000000"/>
          <w:sz w:val="22"/>
        </w:rPr>
        <w:t> </w:t>
      </w:r>
      <w:r>
        <w:rPr>
          <w:rFonts w:ascii="Times New Roman" w:hAnsi="Times New Roman"/>
          <w:b w:val="false"/>
          <w:i w:val="false"/>
          <w:color w:val="000000"/>
          <w:sz w:val="22"/>
        </w:rPr>
        <w:t>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decertification. </w:t>
      </w:r>
      <w:r>
        <w:rPr>
          <w:rFonts w:ascii="Times New Roman" w:hAnsi="Times New Roman"/>
          <w:b w:val="false"/>
          <w:i w:val="false"/>
          <w:color w:val="000000"/>
          <w:sz w:val="22"/>
        </w:rPr>
        <w:t>A certified volunteer may be decertified by the office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Falsification of information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Breach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Acting as a certified volunteer without proper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Attending less than the required continuing education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Voluntary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Failure to carry out the duties as assigned;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Actions that are found by the office to violate the rules or intent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decertification. </w:t>
      </w:r>
      <w:r>
        <w:rPr>
          <w:rFonts w:ascii="Times New Roman" w:hAnsi="Times New Roman"/>
          <w:b w:val="false"/>
          <w:i w:val="false"/>
          <w:color w:val="000000"/>
          <w:sz w:val="22"/>
        </w:rPr>
        <w:t xml:space="preserve">The office will notify the certified volunteer and the facility in writing of a decertification pursuant to </w:t>
      </w:r>
      <w:hyperlink r:id="rId11">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reconsideration. </w:t>
      </w:r>
      <w:r>
        <w:rPr>
          <w:rFonts w:ascii="Times New Roman" w:hAnsi="Times New Roman"/>
          <w:b w:val="false"/>
          <w:i w:val="false"/>
          <w:color w:val="000000"/>
          <w:sz w:val="22"/>
        </w:rPr>
        <w:t>A request for reconsideration or reinstatement of certification may be made in writing to the office. The request must be filed within 14 days after receipt of the notice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time. </w:t>
      </w:r>
      <w:r>
        <w:rPr>
          <w:rFonts w:ascii="Times New Roman" w:hAnsi="Times New Roman"/>
          <w:b w:val="false"/>
          <w:i w:val="false"/>
          <w:color w:val="000000"/>
          <w:sz w:val="22"/>
        </w:rPr>
        <w:t>The office will investigate and consider the request and notify the requesting party and the facility of the decision within 30 days of receipt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230.6(8)</w:t>
      </w:r>
      <w:r>
        <w:rPr>
          <w:rFonts w:ascii="Times New Roman" w:hAnsi="Times New Roman"/>
          <w:b w:val="false"/>
          <w:i w:val="false"/>
          <w:color w:val="000000"/>
          <w:sz w:val="22"/>
        </w:rPr>
        <w:t> </w:t>
      </w:r>
      <w:r>
        <w:rPr>
          <w:rFonts w:ascii="Times New Roman" w:hAnsi="Times New Roman"/>
          <w:b w:val="false"/>
          <w:i w:val="false"/>
          <w:color w:val="000000"/>
          <w:sz w:val="22"/>
        </w:rPr>
        <w:t>Duties. The certified volunteer shall assist the office or designee in carrying out the duties described in the federal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441—230.7</w:t>
      </w:r>
      <w:r>
        <w:rPr>
          <w:rFonts w:ascii="Times New Roman" w:hAnsi="Times New Roman"/>
          <w:b/>
          <w:i w:val="false"/>
          <w:color w:val="000000"/>
          <w:sz w:val="22"/>
        </w:rPr>
        <w:t xml:space="preserve">(231) </w:t>
      </w:r>
      <w:r>
        <w:rPr>
          <w:rFonts w:ascii="Times New Roman" w:hAnsi="Times New Roman"/>
          <w:b/>
          <w:i w:val="false"/>
          <w:color w:val="000000"/>
          <w:sz w:val="22"/>
        </w:rPr>
        <w:t xml:space="preserve">Managed care ombudsman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230.7(1)</w:t>
      </w:r>
      <w:r>
        <w:rPr>
          <w:rFonts w:ascii="Times New Roman" w:hAnsi="Times New Roman"/>
          <w:b w:val="false"/>
          <w:i w:val="false"/>
          <w:color w:val="000000"/>
          <w:sz w:val="22"/>
        </w:rPr>
        <w:t> </w:t>
      </w:r>
      <w:r>
        <w:rPr>
          <w:rFonts w:ascii="Times New Roman" w:hAnsi="Times New Roman"/>
          <w:b w:val="false"/>
          <w:i w:val="false"/>
          <w:color w:val="000000"/>
          <w:sz w:val="22"/>
        </w:rPr>
        <w:t>The office may provide advocacy and assistance to eligible recipients, or the families or legal representatives of such eligible recipients, of long-term services and supports provided through the Medicaid program who are receiving services in a long-term care facility or under one of the home- and community-based services waivers.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230.7(2)</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Representatives of the office providing an individual with assistance and advocacy services authorized under Iowa Code section </w:t>
      </w:r>
      <w:hyperlink r:id="rId12">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 xml:space="preserve"> shall be provided access to the individual and to the individual’s medical, social, and administrative records related to the provision of the long-term services and supports to the individual, as authorized by the individual or the individual’s legal representative, as necessary to carry out the duties specified by Iowa Code section </w:t>
      </w:r>
      <w:hyperlink r:id="rId13">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and representatives of the office, when providing assistance and advocacy services under Iowa Code section </w:t>
      </w:r>
      <w:hyperlink r:id="rId14">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 xml:space="preserve">, will be considered a health oversight agency as defined in </w:t>
      </w:r>
      <w:r>
        <w:rPr>
          <w:rFonts w:ascii="Times New Roman" w:hAnsi="Times New Roman"/>
          <w:b w:val="false"/>
          <w:i w:val="false"/>
          <w:color w:val="000000"/>
          <w:sz w:val="22"/>
        </w:rPr>
        <w:t>45 CFR §164.501</w:t>
      </w:r>
      <w:r>
        <w:rPr>
          <w:rFonts w:ascii="Times New Roman" w:hAnsi="Times New Roman"/>
          <w:b w:val="false"/>
          <w:i w:val="false"/>
          <w:color w:val="000000"/>
          <w:sz w:val="22"/>
        </w:rPr>
        <w:t xml:space="preserve"> as amended to October 1, 2025, for the purposes of health oversight activities described in </w:t>
      </w:r>
      <w:r>
        <w:rPr>
          <w:rFonts w:ascii="Times New Roman" w:hAnsi="Times New Roman"/>
          <w:b w:val="false"/>
          <w:i w:val="false"/>
          <w:color w:val="000000"/>
          <w:sz w:val="22"/>
        </w:rPr>
        <w:t>45 CFR §164.512(d)</w:t>
      </w:r>
      <w:r>
        <w:rPr>
          <w:rFonts w:ascii="Times New Roman" w:hAnsi="Times New Roman"/>
          <w:b w:val="false"/>
          <w:i w:val="false"/>
          <w:color w:val="000000"/>
          <w:sz w:val="22"/>
        </w:rPr>
        <w:t xml:space="preserve"> as amended to October 1, 2025. Recipient information available to the office and representatives of the office under this subrule shall be limited to the recipient’s protected health information as defined in </w:t>
      </w:r>
      <w:r>
        <w:rPr>
          <w:rFonts w:ascii="Times New Roman" w:hAnsi="Times New Roman"/>
          <w:b w:val="false"/>
          <w:i w:val="false"/>
          <w:color w:val="000000"/>
          <w:sz w:val="22"/>
        </w:rPr>
        <w:t>45 CFR §160.103</w:t>
      </w:r>
      <w:r>
        <w:rPr>
          <w:rFonts w:ascii="Times New Roman" w:hAnsi="Times New Roman"/>
          <w:b w:val="false"/>
          <w:i w:val="false"/>
          <w:color w:val="000000"/>
          <w:sz w:val="22"/>
        </w:rPr>
        <w:t xml:space="preserve"> as amended to October 1, 2025, for the purpose of recipient case resolution.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231.41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231.45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9496C</w:t>
      </w:r>
      <w:r>
        <w:rPr>
          <w:rFonts w:ascii="Times New Roman" w:hAnsi="Times New Roman"/>
          <w:b w:val="false"/>
          <w:i w:val="false"/>
          <w:color w:val="000000"/>
          <w:sz w:val="21"/>
        </w:rPr>
        <w:t xml:space="preserve"> (Notice ARC 9385C, IAB 6/25/25)</w:t>
      </w:r>
      <w:r>
        <w:rPr>
          <w:rFonts w:ascii="Times New Roman" w:hAnsi="Times New Roman"/>
          <w:b w:val="false"/>
          <w:i w:val="false"/>
          <w:color w:val="000000"/>
          <w:sz w:val="21"/>
        </w:rPr>
        <w:t>, IAB 8/20/25, effective 10/1/25]</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45.pdf" Type="http://schemas.openxmlformats.org/officeDocument/2006/relationships/hyperlink" Id="rId5"/>
    <Relationship TargetMode="External" Target="https://www.legis.iowa.gov/docs/ico/chapter/231.42.pdf" Type="http://schemas.openxmlformats.org/officeDocument/2006/relationships/hyperlink" Id="rId6"/>
    <Relationship TargetMode="External" Target="https://www.legis.iowa.gov/docs/ico/chapter/231.42.pdf" Type="http://schemas.openxmlformats.org/officeDocument/2006/relationships/hyperlink" Id="rId7"/>
    <Relationship TargetMode="External" Target="https://www.legis.iowa.gov/docs/ico/chapter/231.42.pdf" Type="http://schemas.openxmlformats.org/officeDocument/2006/relationships/hyperlink" Id="rId8"/>
    <Relationship TargetMode="External" Target="https://www.legis.iowa.gov/docs/iac/chapter/441.16.pdf" Type="http://schemas.openxmlformats.org/officeDocument/2006/relationships/hyperlink" Id="rId9"/>
    <Relationship TargetMode="External" Target="https://www.legis.iowa.gov/docs/iac/chapter/441.7.pdf" Type="http://schemas.openxmlformats.org/officeDocument/2006/relationships/hyperlink" Id="rId10"/>
    <Relationship TargetMode="External" Target="https://www.legis.iowa.gov/docs/iac/chapter/441.16.pdf" Type="http://schemas.openxmlformats.org/officeDocument/2006/relationships/hyperlink" Id="rId11"/>
    <Relationship TargetMode="External" Target="https://www.legis.iowa.gov/docs/ico/chapter/231.44.pdf" Type="http://schemas.openxmlformats.org/officeDocument/2006/relationships/hyperlink" Id="rId12"/>
    <Relationship TargetMode="External" Target="https://www.legis.iowa.gov/docs/ico/chapter/231.44.pdf" Type="http://schemas.openxmlformats.org/officeDocument/2006/relationships/hyperlink" Id="rId13"/>
    <Relationship TargetMode="External" Target="https://www.legis.iowa.gov/docs/ico/chapter/231.44.pdf" Type="http://schemas.openxmlformats.org/officeDocument/2006/relationships/hyperlink" Id="rId14"/>
    <Relationship TargetMode="External" Target="https://www.legis.iowa.gov/docs/ico/chapter/231.41.pdf" Type="http://schemas.openxmlformats.org/officeDocument/2006/relationships/hyperlink" Id="rId15"/>
    <Relationship TargetMode="External" Target="https://www.legis.iowa.gov/docs/ico/chapter/231.42.pdf" Type="http://schemas.openxmlformats.org/officeDocument/2006/relationships/hyperlink" Id="rId16"/>
    <Relationship TargetMode="External" Target="https://www.legis.iowa.gov/docs/ico/chapter/231.44.pdf" Type="http://schemas.openxmlformats.org/officeDocument/2006/relationships/hyperlink" Id="rId17"/>
    <Relationship TargetMode="External" Target="https://www.legis.iowa.gov/docs/ico/chapter/231.4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