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226</w:t>
      </w:r>
    </w:p>
    <w:p>
      <w:pPr>
        <w:spacing w:before="0" w:after="0"/>
        <w:ind w:left="120"/>
        <w:jc w:val="center"/>
      </w:pPr>
      <w:r>
        <w:rPr>
          <w:rFonts w:ascii="Times New Roman" w:hAnsi="Times New Roman"/>
          <w:b w:val="false"/>
          <w:i w:val="false"/>
          <w:color w:val="000000"/>
          <w:sz w:val="21"/>
        </w:rPr>
        <w:t>STATE UNIT ON AGING RESPONSIBILITIES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441—226.1</w:t>
      </w:r>
      <w:r>
        <w:rPr>
          <w:rFonts w:ascii="Times New Roman" w:hAnsi="Times New Roman"/>
          <w:b/>
          <w:i w:val="false"/>
          <w:color w:val="000000"/>
          <w:sz w:val="22"/>
        </w:rPr>
        <w:t xml:space="preserve">(231) </w:t>
      </w:r>
      <w:r>
        <w:rPr>
          <w:rFonts w:ascii="Times New Roman" w:hAnsi="Times New Roman"/>
          <w:b/>
          <w:i w:val="false"/>
          <w:color w:val="000000"/>
          <w:sz w:val="22"/>
        </w:rPr>
        <w:t xml:space="preserve">Designated state unit on aging. </w:t>
      </w:r>
      <w:r>
        <w:rPr>
          <w:rFonts w:ascii="Times New Roman" w:hAnsi="Times New Roman"/>
          <w:b w:val="false"/>
          <w:i w:val="false"/>
          <w:color w:val="000000"/>
          <w:sz w:val="22"/>
        </w:rPr>
        <w:t xml:space="preserve">The department is designated as the sole state unit on aging in Iowa. The department will perform all state unit on aging duties in accordance with the federal Act; 45 CFR 1321 through 1324 as amended to October 1, 2025; and Iowa Code chapter </w:t>
      </w:r>
      <w:hyperlink r:id="rId5">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441—226.2</w:t>
      </w:r>
      <w:r>
        <w:rPr>
          <w:rFonts w:ascii="Times New Roman" w:hAnsi="Times New Roman"/>
          <w:b/>
          <w:i w:val="false"/>
          <w:color w:val="000000"/>
          <w:sz w:val="22"/>
        </w:rPr>
        <w:t xml:space="preserve">(231)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 xml:space="preserve">The department will develop and maintain policies and procedures in accordance with the federal Act; </w:t>
      </w:r>
      <w:r>
        <w:rPr>
          <w:rFonts w:ascii="Times New Roman" w:hAnsi="Times New Roman"/>
          <w:b w:val="false"/>
          <w:i w:val="false"/>
          <w:color w:val="000000"/>
          <w:sz w:val="22"/>
        </w:rPr>
        <w:t>45 CFR 1321</w:t>
      </w:r>
      <w:r>
        <w:rPr>
          <w:rFonts w:ascii="Times New Roman" w:hAnsi="Times New Roman"/>
          <w:b w:val="false"/>
          <w:i w:val="false"/>
          <w:color w:val="000000"/>
          <w:sz w:val="22"/>
        </w:rPr>
        <w:t xml:space="preserve"> and </w:t>
      </w:r>
      <w:r>
        <w:rPr>
          <w:rFonts w:ascii="Times New Roman" w:hAnsi="Times New Roman"/>
          <w:b w:val="false"/>
          <w:i w:val="false"/>
          <w:color w:val="000000"/>
          <w:sz w:val="22"/>
        </w:rPr>
        <w:t>1324</w:t>
      </w:r>
      <w:r>
        <w:rPr>
          <w:rFonts w:ascii="Times New Roman" w:hAnsi="Times New Roman"/>
          <w:b w:val="false"/>
          <w:i w:val="false"/>
          <w:color w:val="000000"/>
          <w:sz w:val="22"/>
        </w:rPr>
        <w:t xml:space="preserve"> as amended to October 1, 2025; and Iowa Code chapter </w:t>
      </w:r>
      <w:hyperlink r:id="rId6">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441—226.3</w:t>
      </w:r>
      <w:r>
        <w:rPr>
          <w:rFonts w:ascii="Times New Roman" w:hAnsi="Times New Roman"/>
          <w:b/>
          <w:i w:val="false"/>
          <w:color w:val="000000"/>
          <w:sz w:val="22"/>
        </w:rPr>
        <w:t xml:space="preserve">(231) </w:t>
      </w:r>
      <w:r>
        <w:rPr>
          <w:rFonts w:ascii="Times New Roman" w:hAnsi="Times New Roman"/>
          <w:b/>
          <w:i w:val="false"/>
          <w:color w:val="000000"/>
          <w:sz w:val="22"/>
        </w:rPr>
        <w:t xml:space="preserve">Public input. </w:t>
      </w:r>
      <w:r>
        <w:rPr>
          <w:rFonts w:ascii="Times New Roman" w:hAnsi="Times New Roman"/>
          <w:b w:val="false"/>
          <w:i w:val="false"/>
          <w:color w:val="000000"/>
          <w:sz w:val="22"/>
        </w:rPr>
        <w:t>The state unit on aging will establish mechanisms and varied methods to obtain the views of older individuals, family caregivers, service providers, and the public on a periodic basis, with a focus on those in greatest economic need and greatest social need according to 45 CFR 1321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441—226.4</w:t>
      </w:r>
      <w:r>
        <w:rPr>
          <w:rFonts w:ascii="Times New Roman" w:hAnsi="Times New Roman"/>
          <w:b/>
          <w:i w:val="false"/>
          <w:color w:val="000000"/>
          <w:sz w:val="22"/>
        </w:rPr>
        <w:t xml:space="preserve">(231) </w:t>
      </w:r>
      <w:r>
        <w:rPr>
          <w:rFonts w:ascii="Times New Roman" w:hAnsi="Times New Roman"/>
          <w:b/>
          <w:i w:val="false"/>
          <w:color w:val="000000"/>
          <w:sz w:val="22"/>
        </w:rPr>
        <w:t xml:space="preserve">State plan on aging.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As the state unit on aging, the department will develop and administer a state plan on aging or state plan amendment pursuant to 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226.4(2)</w:t>
      </w:r>
      <w:r>
        <w:rPr>
          <w:rFonts w:ascii="Times New Roman" w:hAnsi="Times New Roman"/>
          <w:b w:val="false"/>
          <w:i w:val="false"/>
          <w:color w:val="000000"/>
          <w:sz w:val="22"/>
        </w:rPr>
        <w:t> </w:t>
      </w:r>
      <w:r>
        <w:rPr>
          <w:rFonts w:ascii="Times New Roman" w:hAnsi="Times New Roman"/>
          <w:b w:val="false"/>
          <w:i/>
          <w:color w:val="000000"/>
          <w:sz w:val="22"/>
        </w:rPr>
        <w:t xml:space="preserve">Multiyear state plan on aging. </w:t>
      </w:r>
      <w:r>
        <w:rPr>
          <w:rFonts w:ascii="Times New Roman" w:hAnsi="Times New Roman"/>
          <w:b w:val="false"/>
          <w:i w:val="false"/>
          <w:color w:val="000000"/>
          <w:sz w:val="22"/>
        </w:rPr>
        <w:t xml:space="preserve">The department will develop and submit for approval a two-, three-, or four-year state plan on aging in compliance with the federal Act; </w:t>
      </w:r>
      <w:r>
        <w:rPr>
          <w:rFonts w:ascii="Times New Roman" w:hAnsi="Times New Roman"/>
          <w:b w:val="false"/>
          <w:i w:val="false"/>
          <w:color w:val="000000"/>
          <w:sz w:val="22"/>
        </w:rPr>
        <w:t>45 CFR 1321</w:t>
      </w:r>
      <w:r>
        <w:rPr>
          <w:rFonts w:ascii="Times New Roman" w:hAnsi="Times New Roman"/>
          <w:b w:val="false"/>
          <w:i w:val="false"/>
          <w:color w:val="000000"/>
          <w:sz w:val="22"/>
        </w:rPr>
        <w:t xml:space="preserve"> and </w:t>
      </w:r>
      <w:r>
        <w:rPr>
          <w:rFonts w:ascii="Times New Roman" w:hAnsi="Times New Roman"/>
          <w:b w:val="false"/>
          <w:i w:val="false"/>
          <w:color w:val="000000"/>
          <w:sz w:val="22"/>
        </w:rPr>
        <w:t>1324</w:t>
      </w:r>
      <w:r>
        <w:rPr>
          <w:rFonts w:ascii="Times New Roman" w:hAnsi="Times New Roman"/>
          <w:b w:val="false"/>
          <w:i w:val="false"/>
          <w:color w:val="000000"/>
          <w:sz w:val="22"/>
        </w:rPr>
        <w:t xml:space="preserve"> as amended to October 1, 2025; Iowa Code chapter </w:t>
      </w:r>
      <w:hyperlink r:id="rId7">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and the procedures and associated instructions, guidance, and direction specified by the federal Administration on 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226.4(3)</w:t>
      </w:r>
      <w:r>
        <w:rPr>
          <w:rFonts w:ascii="Times New Roman" w:hAnsi="Times New Roman"/>
          <w:b w:val="false"/>
          <w:i w:val="false"/>
          <w:color w:val="000000"/>
          <w:sz w:val="22"/>
        </w:rPr>
        <w:t> </w:t>
      </w:r>
      <w:r>
        <w:rPr>
          <w:rFonts w:ascii="Times New Roman" w:hAnsi="Times New Roman"/>
          <w:b w:val="false"/>
          <w:i/>
          <w:color w:val="000000"/>
          <w:sz w:val="22"/>
        </w:rPr>
        <w:t xml:space="preserve">State plan amendment. </w:t>
      </w:r>
      <w:r>
        <w:rPr>
          <w:rFonts w:ascii="Times New Roman" w:hAnsi="Times New Roman"/>
          <w:b w:val="false"/>
          <w:i w:val="false"/>
          <w:color w:val="000000"/>
          <w:sz w:val="22"/>
        </w:rPr>
        <w:t>The department may, in its discretion, develop and submit to the federal Administration on Aging for consideration an amendment to the state plan on aging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226.4(4)</w:t>
      </w:r>
      <w:r>
        <w:rPr>
          <w:rFonts w:ascii="Times New Roman" w:hAnsi="Times New Roman"/>
          <w:b w:val="false"/>
          <w:i w:val="false"/>
          <w:color w:val="000000"/>
          <w:sz w:val="22"/>
        </w:rPr>
        <w:t> </w:t>
      </w:r>
      <w:r>
        <w:rPr>
          <w:rFonts w:ascii="Times New Roman" w:hAnsi="Times New Roman"/>
          <w:b w:val="false"/>
          <w:i/>
          <w:color w:val="000000"/>
          <w:sz w:val="22"/>
        </w:rPr>
        <w:t xml:space="preserve">State plan on aging and state plan amendment review process. </w:t>
      </w:r>
      <w:r>
        <w:rPr>
          <w:rFonts w:ascii="Times New Roman" w:hAnsi="Times New Roman"/>
          <w:b w:val="false"/>
          <w:i w:val="false"/>
          <w:color w:val="000000"/>
          <w:sz w:val="22"/>
        </w:rPr>
        <w:t>Once the department develops the state plan on aging or state plan amendment, the department will comply with the following chronological review and comment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hold at least one public hearing on the proposed state plan or state plan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submit the state plan or state plan amendment to the council on health and human services for consideration. The council will make recommendations on the state plan or state plan amendment after reviewing the plan and public comments;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submit a state plan or state plan amendment to the governor or governor’s designee for approval and signature;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submit a state plan or state plan amendment approved by the governor to the federal Administration on Aging for approval at least 45 days before the effective date of the state plan or state plan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226.4(5)</w:t>
      </w:r>
      <w:r>
        <w:rPr>
          <w:rFonts w:ascii="Times New Roman" w:hAnsi="Times New Roman"/>
          <w:b w:val="false"/>
          <w:i w:val="false"/>
          <w:color w:val="000000"/>
          <w:sz w:val="22"/>
        </w:rPr>
        <w:t> </w:t>
      </w:r>
      <w:r>
        <w:rPr>
          <w:rFonts w:ascii="Times New Roman" w:hAnsi="Times New Roman"/>
          <w:b w:val="false"/>
          <w:i/>
          <w:color w:val="000000"/>
          <w:sz w:val="22"/>
        </w:rPr>
        <w:t xml:space="preserve">State plan on aging or state plan amendment not approved. </w:t>
      </w:r>
      <w:r>
        <w:rPr>
          <w:rFonts w:ascii="Times New Roman" w:hAnsi="Times New Roman"/>
          <w:b w:val="false"/>
          <w:i w:val="false"/>
          <w:color w:val="000000"/>
          <w:sz w:val="22"/>
        </w:rPr>
        <w:t xml:space="preserve">If a state plan or state plan amendment is not approved by the governor or governor’s designee or the federal Administration on Aging, the department may, in its discretion, table or revise the proposed state plan or state plan amendment. If the department revises the proposed state plan or state plan amendment, the department will follow the comment and approval process outlined in subrule </w:t>
      </w:r>
      <w:hyperlink r:id="rId8">
        <w:r>
          <w:rPr>
            <w:rStyle w:val="Hyperlink"/>
            <w:rFonts w:ascii="Times New Roman" w:hAnsi="Times New Roman"/>
            <w:b w:val="false"/>
            <w:i w:val="false"/>
            <w:color w:val="000000"/>
            <w:sz w:val="22"/>
          </w:rPr>
          <w:t>226.4(4)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226.4(6)</w:t>
      </w:r>
      <w:r>
        <w:rPr>
          <w:rFonts w:ascii="Times New Roman" w:hAnsi="Times New Roman"/>
          <w:b w:val="false"/>
          <w:i w:val="false"/>
          <w:color w:val="000000"/>
          <w:sz w:val="22"/>
        </w:rPr>
        <w:t> </w:t>
      </w:r>
      <w:r>
        <w:rPr>
          <w:rFonts w:ascii="Times New Roman" w:hAnsi="Times New Roman"/>
          <w:b w:val="false"/>
          <w:i/>
          <w:color w:val="000000"/>
          <w:sz w:val="22"/>
        </w:rPr>
        <w:t xml:space="preserve">Technical changes to state plan on aging. </w:t>
      </w:r>
      <w:r>
        <w:rPr>
          <w:rFonts w:ascii="Times New Roman" w:hAnsi="Times New Roman"/>
          <w:b w:val="false"/>
          <w:i w:val="false"/>
          <w:color w:val="000000"/>
          <w:sz w:val="22"/>
        </w:rPr>
        <w:t>The department or the governor may, at either party’s discretion, make technical corrections to a submitted state plan or state plan amendment prior to approving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441—226.5</w:t>
      </w:r>
      <w:r>
        <w:rPr>
          <w:rFonts w:ascii="Times New Roman" w:hAnsi="Times New Roman"/>
          <w:b/>
          <w:i w:val="false"/>
          <w:color w:val="000000"/>
          <w:sz w:val="22"/>
        </w:rPr>
        <w:t xml:space="preserve">(231) </w:t>
      </w:r>
      <w:r>
        <w:rPr>
          <w:rFonts w:ascii="Times New Roman" w:hAnsi="Times New Roman"/>
          <w:b/>
          <w:i w:val="false"/>
          <w:color w:val="000000"/>
          <w:sz w:val="22"/>
        </w:rPr>
        <w:t xml:space="preserve">Designation of and changes to PSAs. </w:t>
      </w:r>
      <w:r>
        <w:rPr>
          <w:rFonts w:ascii="Times New Roman" w:hAnsi="Times New Roman"/>
          <w:b w:val="false"/>
          <w:i w:val="false"/>
          <w:color w:val="000000"/>
          <w:sz w:val="22"/>
        </w:rPr>
        <w:t xml:space="preserve">The department will divide the state into distinct PSAs in accordance with the federal Act; 45 CFR 1321 as amended to October 1, 2025; and Iowa Code chapter </w:t>
      </w:r>
      <w:hyperlink r:id="rId9">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changes to PSAs will be provided in accordance with </w:t>
      </w:r>
      <w:hyperlink r:id="rId1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226.5(2)</w:t>
      </w:r>
      <w:r>
        <w:rPr>
          <w:rFonts w:ascii="Times New Roman" w:hAnsi="Times New Roman"/>
          <w:b w:val="false"/>
          <w:i w:val="false"/>
          <w:color w:val="000000"/>
          <w:sz w:val="22"/>
        </w:rPr>
        <w:t> </w:t>
      </w:r>
      <w:r>
        <w:rPr>
          <w:rFonts w:ascii="Times New Roman" w:hAnsi="Times New Roman"/>
          <w:b w:val="false"/>
          <w:i w:val="false"/>
          <w:color w:val="000000"/>
          <w:sz w:val="22"/>
        </w:rPr>
        <w:t>Appeals to designation of and changes to PSAs.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Appeals to the department’s designation of PSAs may be brought forth by applicants seeking to change existing PSA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will be provided in accordance with </w:t>
      </w:r>
      <w:hyperlink r:id="rId1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except for rule </w:t>
      </w:r>
      <w:hyperlink r:id="rId12">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(17A). Applicants whose appeal rights have been exhausted may appeal that decision to the federal Departmental Appeals Board (DAB) in accordance with the federal Act and with the procedures set forth in </w:t>
      </w:r>
      <w:r>
        <w:rPr>
          <w:rFonts w:ascii="Times New Roman" w:hAnsi="Times New Roman"/>
          <w:b w:val="false"/>
          <w:i w:val="false"/>
          <w:color w:val="000000"/>
          <w:sz w:val="22"/>
        </w:rPr>
        <w:t>45 CFR Part 16</w:t>
      </w:r>
      <w:r>
        <w:rPr>
          <w:rFonts w:ascii="Times New Roman" w:hAnsi="Times New Roman"/>
          <w:b w:val="false"/>
          <w:i w:val="false"/>
          <w:color w:val="000000"/>
          <w:sz w:val="22"/>
        </w:rPr>
        <w:t xml:space="preserve">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441—226.6</w:t>
      </w:r>
      <w:r>
        <w:rPr>
          <w:rFonts w:ascii="Times New Roman" w:hAnsi="Times New Roman"/>
          <w:b/>
          <w:i w:val="false"/>
          <w:color w:val="000000"/>
          <w:sz w:val="22"/>
        </w:rPr>
        <w:t xml:space="preserve">(231) </w:t>
      </w:r>
      <w:r>
        <w:rPr>
          <w:rFonts w:ascii="Times New Roman" w:hAnsi="Times New Roman"/>
          <w:b/>
          <w:i w:val="false"/>
          <w:color w:val="000000"/>
          <w:sz w:val="22"/>
        </w:rPr>
        <w:t xml:space="preserve">Designating area agencies on aging. </w:t>
      </w:r>
      <w:r>
        <w:rPr>
          <w:rFonts w:ascii="Times New Roman" w:hAnsi="Times New Roman"/>
          <w:b w:val="false"/>
          <w:i w:val="false"/>
          <w:color w:val="000000"/>
          <w:sz w:val="22"/>
        </w:rPr>
        <w:t xml:space="preserve">The department will designate an area agency on aging for each PSA in accordance with the federal Act; 45 CFR 1321 as amended to October 1, 2025; and Iowa Code chapter </w:t>
      </w:r>
      <w:hyperlink r:id="rId13">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Upon designation, an area agency on aging is considered an instrumentality of the state and will adhere to all state and federal mandates applicable to an instrumentality of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441—226.7</w:t>
      </w:r>
      <w:r>
        <w:rPr>
          <w:rFonts w:ascii="Times New Roman" w:hAnsi="Times New Roman"/>
          <w:b/>
          <w:i w:val="false"/>
          <w:color w:val="000000"/>
          <w:sz w:val="22"/>
        </w:rPr>
        <w:t xml:space="preserve">(231) </w:t>
      </w:r>
      <w:r>
        <w:rPr>
          <w:rFonts w:ascii="Times New Roman" w:hAnsi="Times New Roman"/>
          <w:b/>
          <w:i w:val="false"/>
          <w:color w:val="000000"/>
          <w:sz w:val="22"/>
        </w:rPr>
        <w:t xml:space="preserve">Withdrawal of designation of area agency on aging. </w:t>
      </w:r>
      <w:r>
        <w:rPr>
          <w:rFonts w:ascii="Times New Roman" w:hAnsi="Times New Roman"/>
          <w:b w:val="false"/>
          <w:i w:val="false"/>
          <w:color w:val="000000"/>
          <w:sz w:val="22"/>
        </w:rPr>
        <w:t xml:space="preserve">The department will withdraw an area agency on aging’s designation as an area agency when the department determines that the area agency on aging does not meet the requirements of the federal Act, regulations, Iowa Code, Iowa Administrative Code, terms and conditions of grant awards, or department policies and procedures. Notice of withdrawal will be provided in accordance with </w:t>
      </w:r>
      <w:hyperlink r:id="rId14">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441—226.8</w:t>
      </w:r>
      <w:r>
        <w:rPr>
          <w:rFonts w:ascii="Times New Roman" w:hAnsi="Times New Roman"/>
          <w:b/>
          <w:i w:val="false"/>
          <w:color w:val="000000"/>
          <w:sz w:val="22"/>
        </w:rPr>
        <w:t xml:space="preserve">(231) </w:t>
      </w:r>
      <w:r>
        <w:rPr>
          <w:rFonts w:ascii="Times New Roman" w:hAnsi="Times New Roman"/>
          <w:b/>
          <w:i w:val="false"/>
          <w:color w:val="000000"/>
          <w:sz w:val="22"/>
        </w:rPr>
        <w:t xml:space="preserve">Appeals to withdrawal of area agency on aging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area agency on aging may appeal the department’s action or proceeding to withdraw the designation of an area agency on aging. Appeals will be provided in accordance with </w:t>
      </w:r>
      <w:hyperlink r:id="rId1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except for rule </w:t>
      </w:r>
      <w:hyperlink r:id="rId16">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226.8(2)</w:t>
      </w:r>
      <w:r>
        <w:rPr>
          <w:rFonts w:ascii="Times New Roman" w:hAnsi="Times New Roman"/>
          <w:b w:val="false"/>
          <w:i w:val="false"/>
          <w:color w:val="000000"/>
          <w:sz w:val="22"/>
        </w:rPr>
        <w:t> </w:t>
      </w:r>
      <w:r>
        <w:rPr>
          <w:rFonts w:ascii="Times New Roman" w:hAnsi="Times New Roman"/>
          <w:b w:val="false"/>
          <w:i w:val="false"/>
          <w:color w:val="000000"/>
          <w:sz w:val="22"/>
        </w:rPr>
        <w:t xml:space="preserve">An area agency on aging may appeal the department’s decision to the federal DAB in accordance with the federal Act and with the procedures set forth in </w:t>
      </w:r>
      <w:r>
        <w:rPr>
          <w:rFonts w:ascii="Times New Roman" w:hAnsi="Times New Roman"/>
          <w:b w:val="false"/>
          <w:i w:val="false"/>
          <w:color w:val="000000"/>
          <w:sz w:val="22"/>
        </w:rPr>
        <w:t>45 CFR Part 16</w:t>
      </w:r>
      <w:r>
        <w:rPr>
          <w:rFonts w:ascii="Times New Roman" w:hAnsi="Times New Roman"/>
          <w:b w:val="false"/>
          <w:i w:val="false"/>
          <w:color w:val="000000"/>
          <w:sz w:val="22"/>
        </w:rPr>
        <w:t xml:space="preserve"> as amended to October 1, 2025. The DAB may refer an appeal to its Alternative Dispute Resolution Division for mediation prior to making a decision on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441—226.9</w:t>
      </w:r>
      <w:r>
        <w:rPr>
          <w:rFonts w:ascii="Times New Roman" w:hAnsi="Times New Roman"/>
          <w:b/>
          <w:i w:val="false"/>
          <w:color w:val="000000"/>
          <w:sz w:val="22"/>
        </w:rPr>
        <w:t xml:space="preserve">(231) </w:t>
      </w:r>
      <w:r>
        <w:rPr>
          <w:rFonts w:ascii="Times New Roman" w:hAnsi="Times New Roman"/>
          <w:b/>
          <w:i w:val="false"/>
          <w:color w:val="000000"/>
          <w:sz w:val="22"/>
        </w:rPr>
        <w:t xml:space="preserve">Area plan on aging reviews and approvals. </w:t>
      </w:r>
      <w:r>
        <w:rPr>
          <w:rFonts w:ascii="Times New Roman" w:hAnsi="Times New Roman"/>
          <w:b w:val="false"/>
          <w:i w:val="false"/>
          <w:color w:val="000000"/>
          <w:sz w:val="22"/>
        </w:rPr>
        <w:t xml:space="preserve">The department will review new, revised, or amended area plans on aging and may approve once any plan has been reviewed in accordance with the process in </w:t>
      </w:r>
      <w:hyperlink r:id="rId17">
        <w:r>
          <w:rPr>
            <w:rStyle w:val="Hyperlink"/>
            <w:rFonts w:ascii="Times New Roman" w:hAnsi="Times New Roman"/>
            <w:b w:val="false"/>
            <w:i w:val="false"/>
            <w:color w:val="000000"/>
            <w:sz w:val="22"/>
          </w:rPr>
          <w:t>441—Chapter 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441—226.10</w:t>
      </w:r>
      <w:r>
        <w:rPr>
          <w:rFonts w:ascii="Times New Roman" w:hAnsi="Times New Roman"/>
          <w:b/>
          <w:i w:val="false"/>
          <w:color w:val="000000"/>
          <w:sz w:val="22"/>
        </w:rPr>
        <w:t xml:space="preserve">(231) </w:t>
      </w:r>
      <w:r>
        <w:rPr>
          <w:rFonts w:ascii="Times New Roman" w:hAnsi="Times New Roman"/>
          <w:b/>
          <w:i w:val="false"/>
          <w:color w:val="000000"/>
          <w:sz w:val="22"/>
        </w:rPr>
        <w:t xml:space="preserve">Intrastate funding formula. </w:t>
      </w:r>
      <w:r>
        <w:rPr>
          <w:rFonts w:ascii="Times New Roman" w:hAnsi="Times New Roman"/>
          <w:b w:val="false"/>
          <w:i w:val="false"/>
          <w:color w:val="000000"/>
          <w:sz w:val="22"/>
        </w:rPr>
        <w:t xml:space="preserve">The department will develop an intrastate funding formula for distribution of funds received under the federal Act and state funds to organizations serving as designated area agencies on aging that complies with </w:t>
      </w:r>
      <w:r>
        <w:rPr>
          <w:rFonts w:ascii="Times New Roman" w:hAnsi="Times New Roman"/>
          <w:b w:val="false"/>
          <w:i w:val="false"/>
          <w:color w:val="000000"/>
          <w:sz w:val="22"/>
        </w:rPr>
        <w:t>45 CFR 1321.49</w:t>
      </w:r>
      <w:r>
        <w:rPr>
          <w:rFonts w:ascii="Times New Roman" w:hAnsi="Times New Roman"/>
          <w:b w:val="false"/>
          <w:i w:val="false"/>
          <w:color w:val="000000"/>
          <w:sz w:val="22"/>
        </w:rPr>
        <w:t xml:space="preserve">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441—226.11</w:t>
      </w:r>
      <w:r>
        <w:rPr>
          <w:rFonts w:ascii="Times New Roman" w:hAnsi="Times New Roman"/>
          <w:b/>
          <w:i w:val="false"/>
          <w:color w:val="000000"/>
          <w:sz w:val="22"/>
        </w:rPr>
        <w:t xml:space="preserve">(231) </w:t>
      </w:r>
      <w:r>
        <w:rPr>
          <w:rFonts w:ascii="Times New Roman" w:hAnsi="Times New Roman"/>
          <w:b/>
          <w:i w:val="false"/>
          <w:color w:val="000000"/>
          <w:sz w:val="22"/>
        </w:rPr>
        <w:t xml:space="preserve">Evaluation and compliance. </w:t>
      </w:r>
      <w:r>
        <w:rPr>
          <w:rFonts w:ascii="Times New Roman" w:hAnsi="Times New Roman"/>
          <w:b w:val="false"/>
          <w:i w:val="false"/>
          <w:color w:val="000000"/>
          <w:sz w:val="22"/>
        </w:rPr>
        <w:t>The department will monitor area agencies on aging to ensure quality performance and compliance as set forth in 45 CFR 1321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226.11(1)</w:t>
      </w:r>
      <w:r>
        <w:rPr>
          <w:rFonts w:ascii="Times New Roman" w:hAnsi="Times New Roman"/>
          <w:b w:val="false"/>
          <w:i w:val="false"/>
          <w:color w:val="000000"/>
          <w:sz w:val="22"/>
        </w:rPr>
        <w:t> </w:t>
      </w:r>
      <w:r>
        <w:rPr>
          <w:rFonts w:ascii="Times New Roman" w:hAnsi="Times New Roman"/>
          <w:b w:val="false"/>
          <w:i/>
          <w:color w:val="000000"/>
          <w:sz w:val="22"/>
        </w:rPr>
        <w:t xml:space="preserve">Correction of deficiencies.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Remedies. </w:t>
      </w:r>
      <w:r>
        <w:rPr>
          <w:rFonts w:ascii="Times New Roman" w:hAnsi="Times New Roman"/>
          <w:b w:val="false"/>
          <w:i w:val="false"/>
          <w:color w:val="000000"/>
          <w:sz w:val="22"/>
        </w:rPr>
        <w:t>The purpose of remedies is to ensure prompt action is taken by an area agency on aging to correct deficiencies arising from failure to perform as identified by this rule. The department will determine the remedies to be applied to the area agency on aging for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Number of remedies. </w:t>
      </w:r>
      <w:r>
        <w:rPr>
          <w:rFonts w:ascii="Times New Roman" w:hAnsi="Times New Roman"/>
          <w:b w:val="false"/>
          <w:i w:val="false"/>
          <w:color w:val="000000"/>
          <w:sz w:val="22"/>
        </w:rPr>
        <w:t>The department may apply one or more remedies for each deficiency constituting failure to perform or for all deficiencies constituting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 xml:space="preserve">The department will give the area agency on aging written notice of the remedy in accordance with </w:t>
      </w:r>
      <w:hyperlink r:id="rId18">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The written notice of remedy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remedy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right to appeal the determination leading to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Factors to be considered in selecting remedies. </w:t>
      </w:r>
      <w:r>
        <w:rPr>
          <w:rFonts w:ascii="Times New Roman" w:hAnsi="Times New Roman"/>
          <w:b w:val="false"/>
          <w:i w:val="false"/>
          <w:color w:val="000000"/>
          <w:sz w:val="22"/>
        </w:rPr>
        <w:t>In order to select the appropriate remedy, the department will determine the seriousness of the failure to perform by considering whether the area agency on aging’s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isolated.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Constitutes a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broad in 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Creates a financial burden for the department, other area agencies on aging, or the aging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Creates an administrative burden for the department, other area agencies on aging, or the aging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226.11(2)</w:t>
      </w:r>
      <w:r>
        <w:rPr>
          <w:rFonts w:ascii="Times New Roman" w:hAnsi="Times New Roman"/>
          <w:b w:val="false"/>
          <w:i w:val="false"/>
          <w:color w:val="000000"/>
          <w:sz w:val="22"/>
        </w:rPr>
        <w:t> </w:t>
      </w:r>
      <w:r>
        <w:rPr>
          <w:rFonts w:ascii="Times New Roman" w:hAnsi="Times New Roman"/>
          <w:b w:val="false"/>
          <w:i/>
          <w:color w:val="000000"/>
          <w:sz w:val="22"/>
        </w:rPr>
        <w:t xml:space="preserve">Available remedies. </w:t>
      </w:r>
      <w:r>
        <w:rPr>
          <w:rFonts w:ascii="Times New Roman" w:hAnsi="Times New Roman"/>
          <w:b w:val="false"/>
          <w:i w:val="false"/>
          <w:color w:val="000000"/>
          <w:sz w:val="22"/>
        </w:rPr>
        <w:t>The department may select one or more of the following remedies with reference to a cited failure to perform. In selecting an appropriate remedy, the department may also consider the area agency on aging’s prior history of failure to perform in general and specifically with reference to the cited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Directed in-service training. </w:t>
      </w:r>
      <w:r>
        <w:rPr>
          <w:rFonts w:ascii="Times New Roman" w:hAnsi="Times New Roman"/>
          <w:b w:val="false"/>
          <w:i w:val="false"/>
          <w:color w:val="000000"/>
          <w:sz w:val="22"/>
        </w:rPr>
        <w:t>The department may require the staff of an area agency on aging to attend an in-service training program. The area agency on aging is responsible for the payment for the directed in-service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monitoring. </w:t>
      </w:r>
      <w:r>
        <w:rPr>
          <w:rFonts w:ascii="Times New Roman" w:hAnsi="Times New Roman"/>
          <w:b w:val="false"/>
          <w:i w:val="false"/>
          <w:color w:val="000000"/>
          <w:sz w:val="22"/>
        </w:rPr>
        <w:t>The department may require an area agency on aging to receive increased monitoring by the department. The frequency and duration of the monitoring is within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Directed plan of correction. </w:t>
      </w:r>
      <w:r>
        <w:rPr>
          <w:rFonts w:ascii="Times New Roman" w:hAnsi="Times New Roman"/>
          <w:b w:val="false"/>
          <w:i w:val="false"/>
          <w:color w:val="000000"/>
          <w:sz w:val="22"/>
        </w:rPr>
        <w:t>The department may develop a plan of correction and require an area agency on aging to take action within specified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Mandatory plan of correction. </w:t>
      </w:r>
      <w:r>
        <w:rPr>
          <w:rFonts w:ascii="Times New Roman" w:hAnsi="Times New Roman"/>
          <w:b w:val="false"/>
          <w:i w:val="false"/>
          <w:color w:val="000000"/>
          <w:sz w:val="22"/>
        </w:rPr>
        <w:t xml:space="preserve">The department may require an area agency on aging to develop a mandatory plan of correction for approval by the department within specified time frames pursuant to subrule </w:t>
      </w:r>
      <w:hyperlink r:id="rId19">
        <w:r>
          <w:rPr>
            <w:rStyle w:val="Hyperlink"/>
            <w:rFonts w:ascii="Times New Roman" w:hAnsi="Times New Roman"/>
            <w:b w:val="false"/>
            <w:i w:val="false"/>
            <w:color w:val="000000"/>
            <w:sz w:val="22"/>
          </w:rPr>
          <w:t>226.11(2)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Reduction of funding. </w:t>
      </w:r>
      <w:r>
        <w:rPr>
          <w:rFonts w:ascii="Times New Roman" w:hAnsi="Times New Roman"/>
          <w:b w:val="false"/>
          <w:i w:val="false"/>
          <w:color w:val="000000"/>
          <w:sz w:val="22"/>
        </w:rPr>
        <w:t>The department may reduce the amount of funding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Investigative audit. </w:t>
      </w:r>
      <w:r>
        <w:rPr>
          <w:rFonts w:ascii="Times New Roman" w:hAnsi="Times New Roman"/>
          <w:b w:val="false"/>
          <w:i w:val="false"/>
          <w:color w:val="000000"/>
          <w:sz w:val="22"/>
        </w:rPr>
        <w:t>The department may require an area agency on aging to receive an investigative audit. The area agency on aging is responsible for the payment for this investigative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Conditional approval. </w:t>
      </w:r>
      <w:r>
        <w:rPr>
          <w:rFonts w:ascii="Times New Roman" w:hAnsi="Times New Roman"/>
          <w:b w:val="false"/>
          <w:i w:val="false"/>
          <w:color w:val="000000"/>
          <w:sz w:val="22"/>
        </w:rPr>
        <w:t xml:space="preserve">The department may conditionally approve area plans and amendments with required corrections to be made by the area agency on aging within no more than 90 days. If the plan is not approved, the department may withdraw designation as specified in rule </w:t>
      </w:r>
      <w:hyperlink r:id="rId20">
        <w:r>
          <w:rPr>
            <w:rStyle w:val="Hyperlink"/>
            <w:rFonts w:ascii="Times New Roman" w:hAnsi="Times New Roman"/>
            <w:b w:val="false"/>
            <w:i w:val="false"/>
            <w:color w:val="000000"/>
            <w:sz w:val="22"/>
          </w:rPr>
          <w:t>441—226.7</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Other remedies. </w:t>
      </w:r>
      <w:r>
        <w:rPr>
          <w:rFonts w:ascii="Times New Roman" w:hAnsi="Times New Roman"/>
          <w:b w:val="false"/>
          <w:i w:val="false"/>
          <w:color w:val="000000"/>
          <w:sz w:val="22"/>
        </w:rPr>
        <w:t>The department may also impose other remedies,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Withdrawal of designation. </w:t>
      </w:r>
      <w:r>
        <w:rPr>
          <w:rFonts w:ascii="Times New Roman" w:hAnsi="Times New Roman"/>
          <w:b w:val="false"/>
          <w:i w:val="false"/>
          <w:color w:val="000000"/>
          <w:sz w:val="22"/>
        </w:rPr>
        <w:t xml:space="preserve">The department may withdraw a designation of an area agency on aging pursuant to rule </w:t>
      </w:r>
      <w:hyperlink r:id="rId21">
        <w:r>
          <w:rPr>
            <w:rStyle w:val="Hyperlink"/>
            <w:rFonts w:ascii="Times New Roman" w:hAnsi="Times New Roman"/>
            <w:b w:val="false"/>
            <w:i w:val="false"/>
            <w:color w:val="000000"/>
            <w:sz w:val="22"/>
          </w:rPr>
          <w:t>441—226.7</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226.11(3)</w:t>
      </w:r>
      <w:r>
        <w:rPr>
          <w:rFonts w:ascii="Times New Roman" w:hAnsi="Times New Roman"/>
          <w:b w:val="false"/>
          <w:i w:val="false"/>
          <w:color w:val="000000"/>
          <w:sz w:val="22"/>
        </w:rPr>
        <w:t> </w:t>
      </w:r>
      <w:r>
        <w:rPr>
          <w:rFonts w:ascii="Times New Roman" w:hAnsi="Times New Roman"/>
          <w:b w:val="false"/>
          <w:i/>
          <w:color w:val="000000"/>
          <w:sz w:val="22"/>
        </w:rPr>
        <w:t xml:space="preserve">Duration of remedies. </w:t>
      </w:r>
      <w:r>
        <w:rPr>
          <w:rFonts w:ascii="Times New Roman" w:hAnsi="Times New Roman"/>
          <w:b w:val="false"/>
          <w:i w:val="false"/>
          <w:color w:val="000000"/>
          <w:sz w:val="22"/>
        </w:rPr>
        <w:t>Remedies will continue until the area agency on aging has achieved substantial compliance as determined by the department or the designation as an area agency on aging is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226.11(4)</w:t>
      </w:r>
      <w:r>
        <w:rPr>
          <w:rFonts w:ascii="Times New Roman" w:hAnsi="Times New Roman"/>
          <w:b w:val="false"/>
          <w:i w:val="false"/>
          <w:color w:val="000000"/>
          <w:sz w:val="22"/>
        </w:rPr>
        <w:t> </w:t>
      </w:r>
      <w:r>
        <w:rPr>
          <w:rFonts w:ascii="Times New Roman" w:hAnsi="Times New Roman"/>
          <w:b w:val="false"/>
          <w:i/>
          <w:color w:val="000000"/>
          <w:sz w:val="22"/>
        </w:rPr>
        <w:t xml:space="preserve">Appeal of a determination of failure to perform.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area agency on aging may appeal the department’s determination of a failure to perform that leads to a remedy citation. Appeals will be provided in accordance with </w:t>
      </w:r>
      <w:hyperlink r:id="rId2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except for rule </w:t>
      </w:r>
      <w:hyperlink r:id="rId23">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area agency on aging may not appeal the choice of remedy, including the factors considered by the department in choosing the remedy.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441—226.12</w:t>
      </w:r>
      <w:r>
        <w:rPr>
          <w:rFonts w:ascii="Times New Roman" w:hAnsi="Times New Roman"/>
          <w:b/>
          <w:i w:val="false"/>
          <w:color w:val="000000"/>
          <w:sz w:val="22"/>
        </w:rPr>
        <w:t xml:space="preserve">(231) </w:t>
      </w:r>
      <w:r>
        <w:rPr>
          <w:rFonts w:ascii="Times New Roman" w:hAnsi="Times New Roman"/>
          <w:b/>
          <w:i w:val="false"/>
          <w:color w:val="000000"/>
          <w:sz w:val="22"/>
        </w:rPr>
        <w:t xml:space="preserve">Data management. </w:t>
      </w:r>
      <w:r>
        <w:rPr>
          <w:rFonts w:ascii="Times New Roman" w:hAnsi="Times New Roman"/>
          <w:b w:val="false"/>
          <w:i w:val="false"/>
          <w:color w:val="000000"/>
          <w:sz w:val="22"/>
        </w:rPr>
        <w:t>The director is the principal officer of the state to administer data reporting. The department will maintain data on all individuals served. The department will develop policy and procedures for data management and confidentiality in accordance with 45 CFR 1321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441—226.13</w:t>
      </w:r>
      <w:r>
        <w:rPr>
          <w:rFonts w:ascii="Times New Roman" w:hAnsi="Times New Roman"/>
          <w:b/>
          <w:i w:val="false"/>
          <w:color w:val="000000"/>
          <w:sz w:val="22"/>
        </w:rPr>
        <w:t xml:space="preserve">(231) </w:t>
      </w:r>
      <w:r>
        <w:rPr>
          <w:rFonts w:ascii="Times New Roman" w:hAnsi="Times New Roman"/>
          <w:b/>
          <w:i w:val="false"/>
          <w:color w:val="000000"/>
          <w:sz w:val="22"/>
        </w:rPr>
        <w:t xml:space="preserve">State agency Title III and Title VI coordination responsibilities. </w:t>
      </w:r>
      <w:r>
        <w:rPr>
          <w:rFonts w:ascii="Times New Roman" w:hAnsi="Times New Roman"/>
          <w:b w:val="false"/>
          <w:i w:val="false"/>
          <w:color w:val="000000"/>
          <w:sz w:val="22"/>
        </w:rPr>
        <w:t xml:space="preserve">The department will coordinate efforts with Title III and Title VI programs, including area agencies on aging and service providers, to ensure outreach is provided to tribal elders and family caregivers regarding services for which they may be eligible under Title III or Title VI or both in accordance with </w:t>
      </w:r>
      <w:r>
        <w:rPr>
          <w:rFonts w:ascii="Times New Roman" w:hAnsi="Times New Roman"/>
          <w:b w:val="false"/>
          <w:i w:val="false"/>
          <w:color w:val="000000"/>
          <w:sz w:val="22"/>
        </w:rPr>
        <w:t>45 CFR 1321.53</w:t>
      </w:r>
      <w:r>
        <w:rPr>
          <w:rFonts w:ascii="Times New Roman" w:hAnsi="Times New Roman"/>
          <w:b w:val="false"/>
          <w:i w:val="false"/>
          <w:color w:val="000000"/>
          <w:sz w:val="22"/>
        </w:rPr>
        <w:t xml:space="preserve">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441—226.14</w:t>
      </w:r>
      <w:r>
        <w:rPr>
          <w:rFonts w:ascii="Times New Roman" w:hAnsi="Times New Roman"/>
          <w:b/>
          <w:i w:val="false"/>
          <w:color w:val="000000"/>
          <w:sz w:val="22"/>
        </w:rPr>
        <w:t xml:space="preserve">(231) </w:t>
      </w:r>
      <w:r>
        <w:rPr>
          <w:rFonts w:ascii="Times New Roman" w:hAnsi="Times New Roman"/>
          <w:b/>
          <w:i w:val="false"/>
          <w:color w:val="000000"/>
          <w:sz w:val="22"/>
        </w:rPr>
        <w:t xml:space="preserve">Emergency and disaster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226.14(1)</w:t>
      </w:r>
      <w:r>
        <w:rPr>
          <w:rFonts w:ascii="Times New Roman" w:hAnsi="Times New Roman"/>
          <w:b w:val="false"/>
          <w:i w:val="false"/>
          <w:color w:val="000000"/>
          <w:sz w:val="22"/>
        </w:rPr>
        <w:t> </w:t>
      </w:r>
      <w:r>
        <w:rPr>
          <w:rFonts w:ascii="Times New Roman" w:hAnsi="Times New Roman"/>
          <w:b w:val="false"/>
          <w:i/>
          <w:color w:val="000000"/>
          <w:sz w:val="22"/>
        </w:rPr>
        <w:t xml:space="preserve">Emergency planning.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emergency plans as set forth in Section 307(a)(28) of 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Coordinate with area agencies on aging, service providers, and local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Coordinate efforts among area agencies on aging and Title VI programs in emergency and disaster preparedness planning, response, and recovery. The department will communicate with the relevant Title VI program director(s) as set forth in 45 CFR 1322 as amended to October 1, 2025, to specify how the department and the area agencies on aging will communicate and coordinate with Title VI programs regarding emergency and disaster preparedness planning, response,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226.14(2)</w:t>
      </w:r>
      <w:r>
        <w:rPr>
          <w:rFonts w:ascii="Times New Roman" w:hAnsi="Times New Roman"/>
          <w:b w:val="false"/>
          <w:i w:val="false"/>
          <w:color w:val="000000"/>
          <w:sz w:val="22"/>
        </w:rPr>
        <w:t> </w:t>
      </w:r>
      <w:r>
        <w:rPr>
          <w:rFonts w:ascii="Times New Roman" w:hAnsi="Times New Roman"/>
          <w:b w:val="false"/>
          <w:i/>
          <w:color w:val="000000"/>
          <w:sz w:val="22"/>
        </w:rPr>
        <w:t xml:space="preserve">Use of Title III funds to address disasters.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in its discretion may use Title III funds without regard to its approved intrastate funding formation or funds distribution plan during presidential declared major disaster declarations under the Stafford Act (</w:t>
      </w:r>
      <w:r>
        <w:rPr>
          <w:rFonts w:ascii="Times New Roman" w:hAnsi="Times New Roman"/>
          <w:b w:val="false"/>
          <w:i w:val="false"/>
          <w:color w:val="000000"/>
          <w:sz w:val="22"/>
        </w:rPr>
        <w:t>42 U.S.C. 5121</w:t>
      </w:r>
      <w:r>
        <w:rPr>
          <w:rFonts w:ascii="Times New Roman" w:hAnsi="Times New Roman"/>
          <w:b w:val="false"/>
          <w:i w:val="false"/>
          <w:color w:val="000000"/>
          <w:sz w:val="22"/>
        </w:rPr>
        <w:t xml:space="preserve"> through 5207 as amended to October 1, 2025) when Title III services as defined in </w:t>
      </w:r>
      <w:hyperlink r:id="rId24">
        <w:r>
          <w:rPr>
            <w:rStyle w:val="Hyperlink"/>
            <w:rFonts w:ascii="Times New Roman" w:hAnsi="Times New Roman"/>
            <w:b w:val="false"/>
            <w:i w:val="false"/>
            <w:color w:val="000000"/>
            <w:sz w:val="22"/>
          </w:rPr>
          <w:t>441—Chapter 228</w:t>
        </w:r>
      </w:hyperlink>
      <w:r>
        <w:rPr>
          <w:rFonts w:ascii="Times New Roman" w:hAnsi="Times New Roman"/>
          <w:b w:val="false"/>
          <w:i w:val="false"/>
          <w:color w:val="000000"/>
          <w:sz w:val="22"/>
        </w:rPr>
        <w:t xml:space="preserve"> are impacted by the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implementing this authority, the department may set aside funds, up to 5 percent of the department’s total Title III allocations, if specified as being allowed to be withheld for the purpose in the department’s approved intrastate funding formula or funds distribution plan, or with prior approval from the Assistant Secretary for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Set-aside funds that are awarded under this provision must comply with the requirements in </w:t>
      </w:r>
      <w:r>
        <w:rPr>
          <w:rFonts w:ascii="Times New Roman" w:hAnsi="Times New Roman"/>
          <w:b w:val="false"/>
          <w:i w:val="false"/>
          <w:color w:val="000000"/>
          <w:sz w:val="22"/>
        </w:rPr>
        <w:t>45 CFR 1321.101</w:t>
      </w:r>
      <w:r>
        <w:rPr>
          <w:rFonts w:ascii="Times New Roman" w:hAnsi="Times New Roman"/>
          <w:b w:val="false"/>
          <w:i w:val="false"/>
          <w:color w:val="000000"/>
          <w:sz w:val="22"/>
        </w:rPr>
        <w:t xml:space="preserve">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state or an Indian tribe requests and receives a major disaster declaration under the Stafford Act (</w:t>
      </w:r>
      <w:r>
        <w:rPr>
          <w:rFonts w:ascii="Times New Roman" w:hAnsi="Times New Roman"/>
          <w:b w:val="false"/>
          <w:i w:val="false"/>
          <w:color w:val="000000"/>
          <w:sz w:val="22"/>
        </w:rPr>
        <w:t>42 U.S.C. 5121</w:t>
      </w:r>
      <w:r>
        <w:rPr>
          <w:rFonts w:ascii="Times New Roman" w:hAnsi="Times New Roman"/>
          <w:b w:val="false"/>
          <w:i w:val="false"/>
          <w:color w:val="000000"/>
          <w:sz w:val="22"/>
        </w:rPr>
        <w:t xml:space="preserve"> through 5207 as amended to October 1, 2025), the department may use disaster relief flexibilities under Title III as set forth in </w:t>
      </w:r>
      <w:r>
        <w:rPr>
          <w:rFonts w:ascii="Times New Roman" w:hAnsi="Times New Roman"/>
          <w:b w:val="false"/>
          <w:i w:val="false"/>
          <w:color w:val="000000"/>
          <w:sz w:val="22"/>
        </w:rPr>
        <w:t>45 CFR 1321.101</w:t>
      </w:r>
      <w:r>
        <w:rPr>
          <w:rFonts w:ascii="Times New Roman" w:hAnsi="Times New Roman"/>
          <w:b w:val="false"/>
          <w:i w:val="false"/>
          <w:color w:val="000000"/>
          <w:sz w:val="22"/>
        </w:rPr>
        <w:t xml:space="preserve"> as amended to October 1, 2025, to provide disaster relief services for areas of the state where the specific major disaster declaration is authorized and where older adults and family caregivers are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441—226.15</w:t>
      </w:r>
      <w:r>
        <w:rPr>
          <w:rFonts w:ascii="Times New Roman" w:hAnsi="Times New Roman"/>
          <w:b/>
          <w:i w:val="false"/>
          <w:color w:val="000000"/>
          <w:sz w:val="22"/>
        </w:rPr>
        <w:t xml:space="preserve">(231) </w:t>
      </w:r>
      <w:r>
        <w:rPr>
          <w:rFonts w:ascii="Times New Roman" w:hAnsi="Times New Roman"/>
          <w:b/>
          <w:i w:val="false"/>
          <w:color w:val="000000"/>
          <w:sz w:val="22"/>
        </w:rPr>
        <w:t xml:space="preserve">Prevention of elder abuse, neglect, and exploitation. </w:t>
      </w:r>
      <w:r>
        <w:rPr>
          <w:rFonts w:ascii="Times New Roman" w:hAnsi="Times New Roman"/>
          <w:b w:val="false"/>
          <w:i w:val="false"/>
          <w:color w:val="000000"/>
          <w:sz w:val="22"/>
        </w:rPr>
        <w:t>In accordance with Title VII, Chapter 3, of the federal Act, the department will develop, strengthen, and carry out programs for the prevention of, detection of, assessment of, treatment of, intervention in, investigation of, and response to elder abuse, neglect, and exploitation. All programs using Title VII, Chapter 3, funds will meet requirements as set forth in the federal Act and guidance as set forth by the Assistant Secretary for Aging.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441—226.16</w:t>
      </w:r>
      <w:r>
        <w:rPr>
          <w:rFonts w:ascii="Times New Roman" w:hAnsi="Times New Roman"/>
          <w:b/>
          <w:i w:val="false"/>
          <w:color w:val="000000"/>
          <w:sz w:val="22"/>
        </w:rPr>
        <w:t xml:space="preserve">(231) </w:t>
      </w:r>
      <w:r>
        <w:rPr>
          <w:rFonts w:ascii="Times New Roman" w:hAnsi="Times New Roman"/>
          <w:b/>
          <w:i w:val="false"/>
          <w:color w:val="000000"/>
          <w:sz w:val="22"/>
        </w:rPr>
        <w:t xml:space="preserve">State legal assistance development program. </w:t>
      </w:r>
      <w:r>
        <w:rPr>
          <w:rFonts w:ascii="Times New Roman" w:hAnsi="Times New Roman"/>
          <w:b w:val="false"/>
          <w:i w:val="false"/>
          <w:color w:val="000000"/>
          <w:sz w:val="22"/>
        </w:rPr>
        <w:t>The department will designate a state legal assistance developer to ensure the provision and monitoring of legal assistance, advice, and technical assistance delivery to older individuals and other service providers. The legal assistance developer activities will be contained in the state plan in accordance with the federal Act; 45 CFR 1324 as amended to October 1, 2025; and department policies and procedures. The state legal assistance developer may provide technical assistance to individuals when other legal assistance is not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5">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9495C</w:t>
      </w:r>
      <w:r>
        <w:rPr>
          <w:rFonts w:ascii="Times New Roman" w:hAnsi="Times New Roman"/>
          <w:b w:val="false"/>
          <w:i w:val="false"/>
          <w:color w:val="000000"/>
          <w:sz w:val="21"/>
        </w:rPr>
        <w:t xml:space="preserve"> (Notice ARC 9375C, IAB 6/25/25)</w:t>
      </w:r>
      <w:r>
        <w:rPr>
          <w:rFonts w:ascii="Times New Roman" w:hAnsi="Times New Roman"/>
          <w:b w:val="false"/>
          <w:i w:val="false"/>
          <w:color w:val="000000"/>
          <w:sz w:val="21"/>
        </w:rPr>
        <w:t>, IAB 8/20/25, effective 10/1/25]</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pdf" Type="http://schemas.openxmlformats.org/officeDocument/2006/relationships/hyperlink" Id="rId5"/>
    <Relationship TargetMode="External" Target="https://www.legis.iowa.gov/docs/ico/chapter/231.pdf" Type="http://schemas.openxmlformats.org/officeDocument/2006/relationships/hyperlink" Id="rId6"/>
    <Relationship TargetMode="External" Target="https://www.legis.iowa.gov/docs/ico/chapter/231.pdf" Type="http://schemas.openxmlformats.org/officeDocument/2006/relationships/hyperlink" Id="rId7"/>
    <Relationship TargetMode="External" Target="https://www.legis.iowa.gov/docs/iac/rule/441.226.4.pdf" Type="http://schemas.openxmlformats.org/officeDocument/2006/relationships/hyperlink" Id="rId8"/>
    <Relationship TargetMode="External" Target="https://www.legis.iowa.gov/docs/ico/chapter/231.pdf" Type="http://schemas.openxmlformats.org/officeDocument/2006/relationships/hyperlink" Id="rId9"/>
    <Relationship TargetMode="External" Target="https://www.legis.iowa.gov/docs/iac/chapter/441.16.pdf" Type="http://schemas.openxmlformats.org/officeDocument/2006/relationships/hyperlink" Id="rId10"/>
    <Relationship TargetMode="External" Target="https://www.legis.iowa.gov/docs/iac/chapter/441.7.pdf" Type="http://schemas.openxmlformats.org/officeDocument/2006/relationships/hyperlink" Id="rId11"/>
    <Relationship TargetMode="External" Target="https://www.legis.iowa.gov/docs/iac/rule/441.7.51.pdf" Type="http://schemas.openxmlformats.org/officeDocument/2006/relationships/hyperlink" Id="rId12"/>
    <Relationship TargetMode="External" Target="https://www.legis.iowa.gov/docs/ico/chapter/231.pdf" Type="http://schemas.openxmlformats.org/officeDocument/2006/relationships/hyperlink" Id="rId13"/>
    <Relationship TargetMode="External" Target="https://www.legis.iowa.gov/docs/iac/chapter/441.16.pdf" Type="http://schemas.openxmlformats.org/officeDocument/2006/relationships/hyperlink" Id="rId14"/>
    <Relationship TargetMode="External" Target="https://www.legis.iowa.gov/docs/iac/chapter/441.7.pdf" Type="http://schemas.openxmlformats.org/officeDocument/2006/relationships/hyperlink" Id="rId15"/>
    <Relationship TargetMode="External" Target="https://www.legis.iowa.gov/docs/iac/rule/441.7.51.pdf" Type="http://schemas.openxmlformats.org/officeDocument/2006/relationships/hyperlink" Id="rId16"/>
    <Relationship TargetMode="External" Target="https://www.legis.iowa.gov/docs/iac/chapter/441.227.pdf" Type="http://schemas.openxmlformats.org/officeDocument/2006/relationships/hyperlink" Id="rId17"/>
    <Relationship TargetMode="External" Target="https://www.legis.iowa.gov/docs/iac/chapter/441.16.pdf" Type="http://schemas.openxmlformats.org/officeDocument/2006/relationships/hyperlink" Id="rId18"/>
    <Relationship TargetMode="External" Target="https://www.legis.iowa.gov/docs/iac/rule/441.226.11.pdf" Type="http://schemas.openxmlformats.org/officeDocument/2006/relationships/hyperlink" Id="rId19"/>
    <Relationship TargetMode="External" Target="https://www.legis.iowa.gov/docs/iac/rule/441.226.7.pdf" Type="http://schemas.openxmlformats.org/officeDocument/2006/relationships/hyperlink" Id="rId20"/>
    <Relationship TargetMode="External" Target="https://www.legis.iowa.gov/docs/iac/rule/441.226.7.pdf" Type="http://schemas.openxmlformats.org/officeDocument/2006/relationships/hyperlink" Id="rId21"/>
    <Relationship TargetMode="External" Target="https://www.legis.iowa.gov/docs/iac/chapter/441.7.pdf" Type="http://schemas.openxmlformats.org/officeDocument/2006/relationships/hyperlink" Id="rId22"/>
    <Relationship TargetMode="External" Target="https://www.legis.iowa.gov/docs/iac/rule/441.7.51.pdf" Type="http://schemas.openxmlformats.org/officeDocument/2006/relationships/hyperlink" Id="rId23"/>
    <Relationship TargetMode="External" Target="https://www.legis.iowa.gov/docs/iac/chapter/441.228.pdf" Type="http://schemas.openxmlformats.org/officeDocument/2006/relationships/hyperlink" Id="rId24"/>
    <Relationship TargetMode="External" Target="https://www.legis.iowa.gov/docs/ico/chapter/231.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