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174</w:t>
      </w:r>
    </w:p>
    <w:p>
      <w:pPr>
        <w:spacing w:before="0" w:after="0"/>
        <w:ind w:left="120"/>
        <w:jc w:val="center"/>
      </w:pPr>
      <w:r>
        <w:rPr>
          <w:rFonts w:ascii="Times New Roman" w:hAnsi="Times New Roman"/>
          <w:b w:val="false"/>
          <w:i w:val="false"/>
          <w:color w:val="000000"/>
          <w:sz w:val="21"/>
        </w:rPr>
        <w:t>STUDENT ABUSE REPORTS AND INVESTIGATIONS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3/1/31</w:t>
      </w:r>
    </w:p>
    <w:p>
      <w:pPr>
        <w:spacing w:before="0" w:after="0"/>
        <w:ind w:left="120"/>
        <w:jc w:val="both"/>
      </w:pPr>
      <w:r>
        <w:rPr>
          <w:rFonts w:ascii="Times New Roman" w:hAnsi="Times New Roman"/>
          <w:b/>
          <w:i w:val="false"/>
          <w:color w:val="000000"/>
          <w:sz w:val="22"/>
        </w:rPr>
        <w:t>441—174.1</w:t>
      </w:r>
      <w:r>
        <w:rPr>
          <w:rFonts w:ascii="Times New Roman" w:hAnsi="Times New Roman"/>
          <w:b/>
          <w:i w:val="false"/>
          <w:color w:val="000000"/>
          <w:sz w:val="22"/>
        </w:rPr>
        <w:t xml:space="preserve">(232E) </w:t>
      </w:r>
      <w:r>
        <w:rPr>
          <w:rFonts w:ascii="Times New Roman" w:hAnsi="Times New Roman"/>
          <w:b/>
          <w:i w:val="false"/>
          <w:color w:val="000000"/>
          <w:sz w:val="22"/>
        </w:rPr>
        <w:t xml:space="preserve">Application—not exclusive.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 xml:space="preserve"> applies only to incidents of alleged student abuse that occur on or after July 1, 2025, and only if the report of the alleged student abuse is made within three years from the date of the occurrence of the incident alleged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6">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 xml:space="preserve"> does not provide an exclusive process or remedy for addressing alleged misconduct by a school employee involving a student and does not preclude or replace other available forms of reporting, investigation, or disciplinary action for complaints that do not meet the threshold of student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441—174.2</w:t>
      </w:r>
      <w:r>
        <w:rPr>
          <w:rFonts w:ascii="Times New Roman" w:hAnsi="Times New Roman"/>
          <w:b/>
          <w:i w:val="false"/>
          <w:color w:val="000000"/>
          <w:sz w:val="22"/>
        </w:rPr>
        <w:t xml:space="preserve">(232E)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educational examiners” </w:t>
      </w:r>
      <w:r>
        <w:rPr>
          <w:rFonts w:ascii="Times New Roman" w:hAnsi="Times New Roman"/>
          <w:b w:val="false"/>
          <w:i w:val="false"/>
          <w:color w:val="000000"/>
          <w:sz w:val="22"/>
        </w:rPr>
        <w:t xml:space="preserve">means the same as defined in Iowa Code chapter </w:t>
      </w:r>
      <w:hyperlink r:id="rId7">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“Credible report” </w:t>
      </w:r>
      <w:r>
        <w:rPr>
          <w:rFonts w:ascii="Times New Roman" w:hAnsi="Times New Roman"/>
          <w:b w:val="false"/>
          <w:i w:val="false"/>
          <w:color w:val="000000"/>
          <w:sz w:val="22"/>
        </w:rPr>
        <w:t xml:space="preserve">means a report of alleged student abuse that is deemed by the department to be both investigable and complete and is an accepted report for the purposes of an investigation under Iowa Code chapter </w:t>
      </w:r>
      <w:hyperlink r:id="rId8">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policies and procedures” </w:t>
      </w:r>
      <w:r>
        <w:rPr>
          <w:rFonts w:ascii="Times New Roman" w:hAnsi="Times New Roman"/>
          <w:b w:val="false"/>
          <w:i w:val="false"/>
          <w:color w:val="000000"/>
          <w:sz w:val="22"/>
        </w:rPr>
        <w:t>means the written guidelines formulated by the department to be used by department personnel involved in the reporting and investigation of allegations of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“Disposition data and information,” </w:t>
      </w:r>
      <w:r>
        <w:rPr>
          <w:rFonts w:ascii="Times New Roman" w:hAnsi="Times New Roman"/>
          <w:b w:val="false"/>
          <w:i w:val="false"/>
          <w:color w:val="000000"/>
          <w:sz w:val="22"/>
        </w:rPr>
        <w:t xml:space="preserve">for the purposes of disclosure of such data and information to a school employee under paragraph </w:t>
      </w:r>
      <w:hyperlink r:id="rId9">
        <w:r>
          <w:rPr>
            <w:rStyle w:val="Hyperlink"/>
            <w:rFonts w:ascii="Times New Roman" w:hAnsi="Times New Roman"/>
            <w:b w:val="false"/>
            <w:i w:val="false"/>
            <w:color w:val="000000"/>
            <w:sz w:val="22"/>
          </w:rPr>
          <w:t>174.9(2)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as specified under subrule </w:t>
      </w:r>
      <w:hyperlink r:id="rId10">
        <w:r>
          <w:rPr>
            <w:rStyle w:val="Hyperlink"/>
            <w:rFonts w:ascii="Times New Roman" w:hAnsi="Times New Roman"/>
            <w:b w:val="false"/>
            <w:i w:val="false"/>
            <w:color w:val="000000"/>
            <w:sz w:val="22"/>
          </w:rPr>
          <w:t>174.10(3)</w:t>
        </w:r>
      </w:hyperlink>
      <w:r>
        <w:rPr>
          <w:rFonts w:ascii="Times New Roman" w:hAnsi="Times New Roman"/>
          <w:b w:val="false"/>
          <w:i w:val="false"/>
          <w:color w:val="000000"/>
          <w:sz w:val="22"/>
        </w:rPr>
        <w:t>, means materially relevant data and information pertaining to the department’s determination that the allegation of student abuse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“Identifiable,” </w:t>
      </w:r>
      <w:r>
        <w:rPr>
          <w:rFonts w:ascii="Times New Roman" w:hAnsi="Times New Roman"/>
          <w:b w:val="false"/>
          <w:i w:val="false"/>
          <w:color w:val="000000"/>
          <w:sz w:val="22"/>
        </w:rPr>
        <w:t xml:space="preserve">relative to an allegedly abused student or to a school employee allegedly involved in an incident, means an individual who is not anonymous and who may be identified by specific factors, such as name, age, address, or birth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“Identifiable source,” </w:t>
      </w:r>
      <w:r>
        <w:rPr>
          <w:rFonts w:ascii="Times New Roman" w:hAnsi="Times New Roman"/>
          <w:b w:val="false"/>
          <w:i w:val="false"/>
          <w:color w:val="000000"/>
          <w:sz w:val="22"/>
        </w:rPr>
        <w:t>with reference to the reporter of an allegation of student abuse, means an individual who is not anonymous; who may be identified by specific factors, such as name, age, address, or birth date; and who is available to sign the written report of alleged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 </w:t>
      </w:r>
      <w:r>
        <w:rPr>
          <w:rFonts w:ascii="Times New Roman" w:hAnsi="Times New Roman"/>
          <w:b w:val="false"/>
          <w:i w:val="false"/>
          <w:color w:val="000000"/>
          <w:sz w:val="22"/>
        </w:rPr>
        <w:t>means an occurrence of behavior that meets the definition of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“Inconclusive,” </w:t>
      </w:r>
      <w:r>
        <w:rPr>
          <w:rFonts w:ascii="Times New Roman" w:hAnsi="Times New Roman"/>
          <w:b w:val="false"/>
          <w:i w:val="false"/>
          <w:color w:val="000000"/>
          <w:sz w:val="22"/>
        </w:rPr>
        <w:t>with reference to a credible report of student abuse that has been referred to law enforcement, means that, because the joint investigation has not yet been concluded, there is not sufficient evidence to determine whether the incident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“Injury” </w:t>
      </w:r>
      <w:r>
        <w:rPr>
          <w:rFonts w:ascii="Times New Roman" w:hAnsi="Times New Roman"/>
          <w:b w:val="false"/>
          <w:i w:val="false"/>
          <w:color w:val="000000"/>
          <w:sz w:val="22"/>
        </w:rPr>
        <w:t>means bodily injury for which evidence of the injury is still apparent at least 24 hours after an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 xml:space="preserve">means the same as defined in Iowa Code chapter </w:t>
      </w:r>
      <w:hyperlink r:id="rId11">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“Investigation report data and information,” </w:t>
      </w:r>
      <w:r>
        <w:rPr>
          <w:rFonts w:ascii="Times New Roman" w:hAnsi="Times New Roman"/>
          <w:b w:val="false"/>
          <w:i w:val="false"/>
          <w:color w:val="000000"/>
          <w:sz w:val="22"/>
        </w:rPr>
        <w:t xml:space="preserve">for the purposes of disclosure of such data and information to a school employee under paragraph </w:t>
      </w:r>
      <w:hyperlink r:id="rId12">
        <w:r>
          <w:rPr>
            <w:rStyle w:val="Hyperlink"/>
            <w:rFonts w:ascii="Times New Roman" w:hAnsi="Times New Roman"/>
            <w:b w:val="false"/>
            <w:i w:val="false"/>
            <w:color w:val="000000"/>
            <w:sz w:val="22"/>
          </w:rPr>
          <w:t>174.9(2)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as specified under subrule </w:t>
      </w:r>
      <w:hyperlink r:id="rId13">
        <w:r>
          <w:rPr>
            <w:rStyle w:val="Hyperlink"/>
            <w:rFonts w:ascii="Times New Roman" w:hAnsi="Times New Roman"/>
            <w:b w:val="false"/>
            <w:i w:val="false"/>
            <w:color w:val="000000"/>
            <w:sz w:val="22"/>
          </w:rPr>
          <w:t>174.10(3)</w:t>
        </w:r>
      </w:hyperlink>
      <w:r>
        <w:rPr>
          <w:rFonts w:ascii="Times New Roman" w:hAnsi="Times New Roman"/>
          <w:b w:val="false"/>
          <w:i w:val="false"/>
          <w:color w:val="000000"/>
          <w:sz w:val="22"/>
        </w:rPr>
        <w:t>, means materially relevant data and information pertaining to an investigation of an allegation of student abuse based upon which the department determines the alleged student abuse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“Investigator” </w:t>
      </w:r>
      <w:r>
        <w:rPr>
          <w:rFonts w:ascii="Times New Roman" w:hAnsi="Times New Roman"/>
          <w:b w:val="false"/>
          <w:i w:val="false"/>
          <w:color w:val="000000"/>
          <w:sz w:val="22"/>
        </w:rPr>
        <w:t>means personnel of the department to whom a credible report is assigned for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“Model policy” </w:t>
      </w:r>
      <w:r>
        <w:rPr>
          <w:rFonts w:ascii="Times New Roman" w:hAnsi="Times New Roman"/>
          <w:b w:val="false"/>
          <w:i w:val="false"/>
          <w:color w:val="000000"/>
          <w:sz w:val="22"/>
        </w:rPr>
        <w:t xml:space="preserve">means the policy and procedures formulated by the department of education in consultation with the department to be used in the reporting and investigating of an allegation of student abuse under Iowa Code chapter </w:t>
      </w:r>
      <w:hyperlink r:id="rId14">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“Nonpublic school” </w:t>
      </w:r>
      <w:r>
        <w:rPr>
          <w:rFonts w:ascii="Times New Roman" w:hAnsi="Times New Roman"/>
          <w:b w:val="false"/>
          <w:i w:val="false"/>
          <w:color w:val="000000"/>
          <w:sz w:val="22"/>
        </w:rPr>
        <w:t xml:space="preserve">means the same as defined in Iowa Code chapter </w:t>
      </w:r>
      <w:hyperlink r:id="rId15">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“Preponderance of the evidence” </w:t>
      </w:r>
      <w:r>
        <w:rPr>
          <w:rFonts w:ascii="Times New Roman" w:hAnsi="Times New Roman"/>
          <w:b w:val="false"/>
          <w:i w:val="false"/>
          <w:color w:val="000000"/>
          <w:sz w:val="22"/>
        </w:rPr>
        <w:t>means reliable, credible evidence that is of greater weight than evidence offered in opposition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school” </w:t>
      </w:r>
      <w:r>
        <w:rPr>
          <w:rFonts w:ascii="Times New Roman" w:hAnsi="Times New Roman"/>
          <w:b w:val="false"/>
          <w:i w:val="false"/>
          <w:color w:val="000000"/>
          <w:sz w:val="22"/>
        </w:rPr>
        <w:t xml:space="preserve">means the same as defined in Iowa Code chapter </w:t>
      </w:r>
      <w:hyperlink r:id="rId16">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school district” </w:t>
      </w:r>
      <w:r>
        <w:rPr>
          <w:rFonts w:ascii="Times New Roman" w:hAnsi="Times New Roman"/>
          <w:b w:val="false"/>
          <w:i w:val="false"/>
          <w:color w:val="000000"/>
          <w:sz w:val="22"/>
        </w:rPr>
        <w:t xml:space="preserve">means the same as defined in Iowa Code chapter </w:t>
      </w:r>
      <w:hyperlink r:id="rId17">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“Receipt of a report”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“receipt of a credible report” </w:t>
      </w:r>
      <w:r>
        <w:rPr>
          <w:rFonts w:ascii="Times New Roman" w:hAnsi="Times New Roman"/>
          <w:b w:val="false"/>
          <w:i w:val="false"/>
          <w:color w:val="000000"/>
          <w:sz w:val="22"/>
        </w:rPr>
        <w:t>occurs on the date of the business day on which a credible report is initially assigned to an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employee” </w:t>
      </w:r>
      <w:r>
        <w:rPr>
          <w:rFonts w:ascii="Times New Roman" w:hAnsi="Times New Roman"/>
          <w:b w:val="false"/>
          <w:i w:val="false"/>
          <w:color w:val="000000"/>
          <w:sz w:val="22"/>
        </w:rPr>
        <w:t xml:space="preserve">means the same as defined in Iowa Code chapter </w:t>
      </w:r>
      <w:hyperlink r:id="rId18">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time” </w:t>
      </w:r>
      <w:r>
        <w:rPr>
          <w:rFonts w:ascii="Times New Roman" w:hAnsi="Times New Roman"/>
          <w:b w:val="false"/>
          <w:i w:val="false"/>
          <w:color w:val="000000"/>
          <w:sz w:val="22"/>
        </w:rPr>
        <w:t>means the hours of a regular school day as specified by the board of directors of a public school district or by the authorities in charge of a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 xml:space="preserve">means the same as defined in Iowa Code chapter </w:t>
      </w:r>
      <w:hyperlink r:id="rId19">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abuse” </w:t>
      </w:r>
      <w:r>
        <w:rPr>
          <w:rFonts w:ascii="Times New Roman" w:hAnsi="Times New Roman"/>
          <w:b w:val="false"/>
          <w:i w:val="false"/>
          <w:color w:val="000000"/>
          <w:sz w:val="22"/>
        </w:rPr>
        <w:t xml:space="preserve">means the same as defined in Iowa Code chapter </w:t>
      </w:r>
      <w:hyperlink r:id="rId20">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“Substantiated,” </w:t>
      </w:r>
      <w:r>
        <w:rPr>
          <w:rFonts w:ascii="Times New Roman" w:hAnsi="Times New Roman"/>
          <w:b w:val="false"/>
          <w:i w:val="false"/>
          <w:color w:val="000000"/>
          <w:sz w:val="22"/>
        </w:rPr>
        <w:t>with reference to a credible report of student abuse, means that, based on the investigation, there is a preponderance of the evidence indicating the incident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“Unsubstantiated,” </w:t>
      </w:r>
      <w:r>
        <w:rPr>
          <w:rFonts w:ascii="Times New Roman" w:hAnsi="Times New Roman"/>
          <w:b w:val="false"/>
          <w:i w:val="false"/>
          <w:color w:val="000000"/>
          <w:sz w:val="22"/>
        </w:rPr>
        <w:t>with reference to a credible report of student abuse, means that, based on the investigation, there is not a preponderance of the evidence indicating the incident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441—174.3</w:t>
      </w:r>
      <w:r>
        <w:rPr>
          <w:rFonts w:ascii="Times New Roman" w:hAnsi="Times New Roman"/>
          <w:b/>
          <w:i w:val="false"/>
          <w:color w:val="000000"/>
          <w:sz w:val="22"/>
        </w:rPr>
        <w:t xml:space="preserve">(232E) </w:t>
      </w:r>
      <w:r>
        <w:rPr>
          <w:rFonts w:ascii="Times New Roman" w:hAnsi="Times New Roman"/>
          <w:b/>
          <w:i w:val="false"/>
          <w:color w:val="000000"/>
          <w:sz w:val="22"/>
        </w:rPr>
        <w:t xml:space="preserve">Abuse intake process—report of alleged student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174.3(1)</w:t>
      </w:r>
      <w:r>
        <w:rPr>
          <w:rFonts w:ascii="Times New Roman" w:hAnsi="Times New Roman"/>
          <w:b w:val="false"/>
          <w:i w:val="false"/>
          <w:color w:val="000000"/>
          <w:sz w:val="22"/>
        </w:rPr>
        <w:t> </w:t>
      </w:r>
      <w:r>
        <w:rPr>
          <w:rFonts w:ascii="Times New Roman" w:hAnsi="Times New Roman"/>
          <w:b w:val="false"/>
          <w:i w:val="false"/>
          <w:color w:val="000000"/>
          <w:sz w:val="22"/>
        </w:rPr>
        <w:t xml:space="preserve">If, during the abuse intake process under Iowa Code chapter </w:t>
      </w:r>
      <w:hyperlink r:id="rId21">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subchapter III, part 2, and Iowa Code chapter </w:t>
      </w:r>
      <w:hyperlink r:id="rId22">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an identifiable source reports information that the department, in accordance with department policies and procedures, determines may constitute an allegation of student abuse, the identifiable source shall be referred to the student abuse intake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174.3(2)</w:t>
      </w:r>
      <w:r>
        <w:rPr>
          <w:rFonts w:ascii="Times New Roman" w:hAnsi="Times New Roman"/>
          <w:b w:val="false"/>
          <w:i w:val="false"/>
          <w:color w:val="000000"/>
          <w:sz w:val="22"/>
        </w:rPr>
        <w:t> </w:t>
      </w:r>
      <w:r>
        <w:rPr>
          <w:rFonts w:ascii="Times New Roman" w:hAnsi="Times New Roman"/>
          <w:b w:val="false"/>
          <w:i w:val="false"/>
          <w:color w:val="000000"/>
          <w:sz w:val="22"/>
        </w:rPr>
        <w:t xml:space="preserve">If, during the abuse intake process under Iowa Code chapter </w:t>
      </w:r>
      <w:hyperlink r:id="rId23">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subchapter III, part 2, and Iowa Code chapter </w:t>
      </w:r>
      <w:hyperlink r:id="rId24">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the department determines the information reported by an identifiable source does not constitute an allegation of student abuse subject to investigation by the department, the department shall reject the report and may inform the identifiable source of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is rejected and the basis for the rejection.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Rejection of the report of alleged student abuse does not preclude other options for reporting, investigation, or disciplinary action for complaints that do not meet the threshold of student abuse,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Contacting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Contacting the 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Contacting private counsel for the purpose of filing a civil suit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Filing a complaint with the superintendents of the public school district or the authorities in charge of the nonpublic school associated with the school employee allegedly involved in the alleged misconduct or contacting the board of educational examiners,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441—174.4</w:t>
      </w:r>
      <w:r>
        <w:rPr>
          <w:rFonts w:ascii="Times New Roman" w:hAnsi="Times New Roman"/>
          <w:b/>
          <w:i w:val="false"/>
          <w:color w:val="000000"/>
          <w:sz w:val="22"/>
        </w:rPr>
        <w:t xml:space="preserve">(232E) </w:t>
      </w:r>
      <w:r>
        <w:rPr>
          <w:rFonts w:ascii="Times New Roman" w:hAnsi="Times New Roman"/>
          <w:b/>
          <w:i w:val="false"/>
          <w:color w:val="000000"/>
          <w:sz w:val="22"/>
        </w:rPr>
        <w:t xml:space="preserve">Student abuse intake process—credible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174.4(1)</w:t>
      </w:r>
      <w:r>
        <w:rPr>
          <w:rFonts w:ascii="Times New Roman" w:hAnsi="Times New Roman"/>
          <w:b w:val="false"/>
          <w:i w:val="false"/>
          <w:color w:val="000000"/>
          <w:sz w:val="22"/>
        </w:rPr>
        <w:t> </w:t>
      </w:r>
      <w:r>
        <w:rPr>
          <w:rFonts w:ascii="Times New Roman" w:hAnsi="Times New Roman"/>
          <w:b w:val="false"/>
          <w:i w:val="false"/>
          <w:color w:val="000000"/>
          <w:sz w:val="22"/>
        </w:rPr>
        <w:t>Following the referral of an identifiable source of a report of alleged student abuse to the student abuse intake process, the department will do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 the identifiable source in making a report of alleged student abuse. Reports shall be made in a manner similar to that specified in Iowa Code section </w:t>
      </w:r>
      <w:hyperlink r:id="rId25">
        <w:r>
          <w:rPr>
            <w:rStyle w:val="Hyperlink"/>
            <w:rFonts w:ascii="Times New Roman" w:hAnsi="Times New Roman"/>
            <w:b w:val="false"/>
            <w:i w:val="false"/>
            <w:color w:val="000000"/>
            <w:sz w:val="22"/>
          </w:rPr>
          <w:t>232.70</w:t>
        </w:r>
      </w:hyperlink>
      <w:r>
        <w:rPr>
          <w:rFonts w:ascii="Times New Roman" w:hAnsi="Times New Roman"/>
          <w:b w:val="false"/>
          <w:i w:val="false"/>
          <w:color w:val="000000"/>
          <w:sz w:val="22"/>
        </w:rPr>
        <w:t xml:space="preserve"> as adapted for application to student abuse reports in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if the report of alleged student abuse is a credible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report of alleged student abuse is determined to be a credible report, refer the credible report to an investigator for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174.4(2)</w:t>
      </w:r>
      <w:r>
        <w:rPr>
          <w:rFonts w:ascii="Times New Roman" w:hAnsi="Times New Roman"/>
          <w:b w:val="false"/>
          <w:i w:val="false"/>
          <w:color w:val="000000"/>
          <w:sz w:val="22"/>
        </w:rPr>
        <w:t> </w:t>
      </w:r>
      <w:r>
        <w:rPr>
          <w:rFonts w:ascii="Times New Roman" w:hAnsi="Times New Roman"/>
          <w:b w:val="false"/>
          <w:i w:val="false"/>
          <w:color w:val="000000"/>
          <w:sz w:val="22"/>
        </w:rPr>
        <w:t>Credible reports. To be a credible report, a report of alleged student abuse must be deemed to be both investigable and complete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174.4(3)</w:t>
      </w:r>
      <w:r>
        <w:rPr>
          <w:rFonts w:ascii="Times New Roman" w:hAnsi="Times New Roman"/>
          <w:b w:val="false"/>
          <w:i w:val="false"/>
          <w:color w:val="000000"/>
          <w:sz w:val="22"/>
        </w:rPr>
        <w:t> </w:t>
      </w:r>
      <w:r>
        <w:rPr>
          <w:rFonts w:ascii="Times New Roman" w:hAnsi="Times New Roman"/>
          <w:b w:val="false"/>
          <w:i w:val="false"/>
          <w:color w:val="000000"/>
          <w:sz w:val="22"/>
        </w:rPr>
        <w:t>Investigable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deemed investigable, a report of alleged student abuse must provide all the following details as specified in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allegedly responsible for the act or omission is identifiable, was a school employee at the time of the alleged incident, and remains a school employee at the time the alleged abuse is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alleged act or omission of the school employee is alleged to have occurred on school grounds during school time or on or at a school-related curricular or extracurricular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alleged act or omission of the school employee resulted in injury or otherwise meets the definition of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allegedly abused student is identifiable and is a student or was a student at the time of the alleged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report of alleged student abuse is deemed not to be investigable, the report will be dismissed for lack of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determining whether the alleged act or omission of a school employee constitutes physical abuse that meets the definition of student abuse under subparagraph </w:t>
      </w:r>
      <w:hyperlink r:id="rId26">
        <w:r>
          <w:rPr>
            <w:rStyle w:val="Hyperlink"/>
            <w:rFonts w:ascii="Times New Roman" w:hAnsi="Times New Roman"/>
            <w:b w:val="false"/>
            <w:i w:val="false"/>
            <w:color w:val="000000"/>
            <w:sz w:val="22"/>
          </w:rPr>
          <w:t>174.4(3)</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reasonable contact under circumstances described in Iowa Code section </w:t>
      </w:r>
      <w:hyperlink r:id="rId27">
        <w:r>
          <w:rPr>
            <w:rStyle w:val="Hyperlink"/>
            <w:rFonts w:ascii="Times New Roman" w:hAnsi="Times New Roman"/>
            <w:b w:val="false"/>
            <w:i w:val="false"/>
            <w:color w:val="000000"/>
            <w:sz w:val="22"/>
          </w:rPr>
          <w:t>280.21(2)</w:t>
        </w:r>
      </w:hyperlink>
      <w:r>
        <w:rPr>
          <w:rFonts w:ascii="Times New Roman" w:hAnsi="Times New Roman"/>
          <w:b w:val="false"/>
          <w:i w:val="false"/>
          <w:color w:val="000000"/>
          <w:sz w:val="22"/>
        </w:rPr>
        <w:t xml:space="preserve"> does not constitute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the reasonableness of the contact or force used under subparagraph </w:t>
      </w:r>
      <w:hyperlink r:id="rId28">
        <w:r>
          <w:rPr>
            <w:rStyle w:val="Hyperlink"/>
            <w:rFonts w:ascii="Times New Roman" w:hAnsi="Times New Roman"/>
            <w:b w:val="false"/>
            <w:i w:val="false"/>
            <w:color w:val="000000"/>
            <w:sz w:val="22"/>
          </w:rPr>
          <w:t>174.4(3)</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the following factors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misconduct of the student, if any, precipitating the physical contact by the school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size and physical condition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instrumentality used in making the physical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motivation of the school employee in initiating the physical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extent of injury to the student resulting from the physical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174.4(4)</w:t>
      </w:r>
      <w:r>
        <w:rPr>
          <w:rFonts w:ascii="Times New Roman" w:hAnsi="Times New Roman"/>
          <w:b w:val="false"/>
          <w:i w:val="false"/>
          <w:color w:val="000000"/>
          <w:sz w:val="22"/>
        </w:rPr>
        <w:t> </w:t>
      </w:r>
      <w:r>
        <w:rPr>
          <w:rFonts w:ascii="Times New Roman" w:hAnsi="Times New Roman"/>
          <w:b w:val="false"/>
          <w:i w:val="false"/>
          <w:color w:val="000000"/>
          <w:sz w:val="22"/>
        </w:rPr>
        <w:t>Complete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deemed complete, a report of alleged student abuse must meet all the following conditions as specified in department policies and procedures. The report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information regarding the identifiable source making the allegation of student abuse; the student allegedly abused; the school employee allegedly involved in the alleged incident; any witnesses to the alleged incident; and any person who examined, counseled, or treated the student for the alleged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concise statement of the facts surrounding the alleged incident, including the date, time, and place of occurrence,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reduced to writing, signed by the identifiable source, and witnessed by a person of majority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report of alleged student abuse is deemed incomplete by the department, the report will not be rejected unless either of the following conditions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reporter of the alleged student abuse is not an identifiable source and does not sign the written report, and the report is not witnessed by a person of majority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reasonable person would conclude that the absence of the information missing from the report of alleged student abuse would render an investigation of the report futile or impossible.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441—174.5</w:t>
      </w:r>
      <w:r>
        <w:rPr>
          <w:rFonts w:ascii="Times New Roman" w:hAnsi="Times New Roman"/>
          <w:b/>
          <w:i w:val="false"/>
          <w:color w:val="000000"/>
          <w:sz w:val="22"/>
        </w:rPr>
        <w:t xml:space="preserve">(232E) </w:t>
      </w:r>
      <w:r>
        <w:rPr>
          <w:rFonts w:ascii="Times New Roman" w:hAnsi="Times New Roman"/>
          <w:b/>
          <w:i w:val="false"/>
          <w:color w:val="000000"/>
          <w:sz w:val="22"/>
        </w:rPr>
        <w:t xml:space="preserve">Options if report dismissed or rejected during student abuse intake. </w:t>
      </w:r>
      <w:r>
        <w:rPr>
          <w:rFonts w:ascii="Times New Roman" w:hAnsi="Times New Roman"/>
          <w:b w:val="false"/>
          <w:i w:val="false"/>
          <w:color w:val="000000"/>
          <w:sz w:val="22"/>
        </w:rPr>
        <w:t>If the report of alleged student abuse is dismissed as not being investigable for lack of jurisdiction or rejected as incomplete, the department may inform the identifiable source of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174.5(1)</w:t>
      </w:r>
      <w:r>
        <w:rPr>
          <w:rFonts w:ascii="Times New Roman" w:hAnsi="Times New Roman"/>
          <w:b w:val="false"/>
          <w:i w:val="false"/>
          <w:color w:val="000000"/>
          <w:sz w:val="22"/>
        </w:rPr>
        <w:t> </w:t>
      </w:r>
      <w:r>
        <w:rPr>
          <w:rFonts w:ascii="Times New Roman" w:hAnsi="Times New Roman"/>
          <w:b w:val="false"/>
          <w:i w:val="false"/>
          <w:color w:val="000000"/>
          <w:sz w:val="22"/>
        </w:rPr>
        <w:t>The report is being dismissed or rejected and the basis for the dismissal or rejection.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174.5(2)</w:t>
      </w:r>
      <w:r>
        <w:rPr>
          <w:rFonts w:ascii="Times New Roman" w:hAnsi="Times New Roman"/>
          <w:b w:val="false"/>
          <w:i w:val="false"/>
          <w:color w:val="000000"/>
          <w:sz w:val="22"/>
        </w:rPr>
        <w:t> </w:t>
      </w:r>
      <w:r>
        <w:rPr>
          <w:rFonts w:ascii="Times New Roman" w:hAnsi="Times New Roman"/>
          <w:b w:val="false"/>
          <w:i w:val="false"/>
          <w:color w:val="000000"/>
          <w:sz w:val="22"/>
        </w:rPr>
        <w:t>Dismissal or rejection of the report of alleged student abuse does not preclude other options for reporting, investigation, or disciplinary action for complaints that do not meet the threshold of student abuse,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Contacting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Contacting the 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Contacting private counsel for the purpose of filing a civil suit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Filing a complaint with the superintendent of the public school district or the authorities in charge of the nonpublic school associated with the school employee allegedly involved in the alleged misconduct or contacting the board of educational examiners,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441—174.6</w:t>
      </w:r>
      <w:r>
        <w:rPr>
          <w:rFonts w:ascii="Times New Roman" w:hAnsi="Times New Roman"/>
          <w:b/>
          <w:i w:val="false"/>
          <w:color w:val="000000"/>
          <w:sz w:val="22"/>
        </w:rPr>
        <w:t xml:space="preserve">(232E) </w:t>
      </w:r>
      <w:r>
        <w:rPr>
          <w:rFonts w:ascii="Times New Roman" w:hAnsi="Times New Roman"/>
          <w:b/>
          <w:i w:val="false"/>
          <w:color w:val="000000"/>
          <w:sz w:val="22"/>
        </w:rPr>
        <w:t xml:space="preserve">Notification of school authorities and identifiable source regarding credible reports. </w:t>
      </w:r>
      <w:r>
        <w:rPr>
          <w:rFonts w:ascii="Times New Roman" w:hAnsi="Times New Roman"/>
          <w:b w:val="false"/>
          <w:i w:val="false"/>
          <w:color w:val="000000"/>
          <w:sz w:val="22"/>
        </w:rPr>
        <w:t>The department, in accordance with department policies and procedures, will notify all the following when a report of alleged student abuse is determined to be a credible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174.6(1)</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the public school district or the authorities in charge of the nonpublic school associated with the school employee allegedly involved in the incident, as applicable, and the board of educational examiners, if applicable. The department of education shall cooperate with the department in completing the required notifications under this paragraph and shall provide the department with access to school contact information in a manner that ensures the accuracy of the notifications.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174.6(2)</w:t>
      </w:r>
      <w:r>
        <w:rPr>
          <w:rFonts w:ascii="Times New Roman" w:hAnsi="Times New Roman"/>
          <w:b w:val="false"/>
          <w:i w:val="false"/>
          <w:color w:val="000000"/>
          <w:sz w:val="22"/>
        </w:rPr>
        <w:t> </w:t>
      </w:r>
      <w:r>
        <w:rPr>
          <w:rFonts w:ascii="Times New Roman" w:hAnsi="Times New Roman"/>
          <w:b w:val="false"/>
          <w:i w:val="false"/>
          <w:color w:val="000000"/>
          <w:sz w:val="22"/>
        </w:rPr>
        <w:t>The identifiable source.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441—174.7</w:t>
      </w:r>
      <w:r>
        <w:rPr>
          <w:rFonts w:ascii="Times New Roman" w:hAnsi="Times New Roman"/>
          <w:b/>
          <w:i w:val="false"/>
          <w:color w:val="000000"/>
          <w:sz w:val="22"/>
        </w:rPr>
        <w:t xml:space="preserve">(232E) </w:t>
      </w:r>
      <w:r>
        <w:rPr>
          <w:rFonts w:ascii="Times New Roman" w:hAnsi="Times New Roman"/>
          <w:b/>
          <w:i w:val="false"/>
          <w:color w:val="000000"/>
          <w:sz w:val="22"/>
        </w:rPr>
        <w:t xml:space="preserve">Investigation—duties of an investigator and school authorities.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174.7(1)</w:t>
      </w:r>
      <w:r>
        <w:rPr>
          <w:rFonts w:ascii="Times New Roman" w:hAnsi="Times New Roman"/>
          <w:b w:val="false"/>
          <w:i w:val="false"/>
          <w:color w:val="000000"/>
          <w:sz w:val="22"/>
        </w:rPr>
        <w:t> </w:t>
      </w:r>
      <w:r>
        <w:rPr>
          <w:rFonts w:ascii="Times New Roman" w:hAnsi="Times New Roman"/>
          <w:b w:val="false"/>
          <w:i/>
          <w:color w:val="000000"/>
          <w:sz w:val="22"/>
        </w:rPr>
        <w:t xml:space="preserve">Duties of an investigator. </w:t>
      </w:r>
      <w:r>
        <w:rPr>
          <w:rFonts w:ascii="Times New Roman" w:hAnsi="Times New Roman"/>
          <w:b w:val="false"/>
          <w:i w:val="false"/>
          <w:color w:val="000000"/>
          <w:sz w:val="22"/>
        </w:rPr>
        <w:t>An investigator will do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Commence an investigation within 24 hours of the receipt of a credible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Based on a credible report received, if an investigator determines the alleged student abuse constitutes a criminal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 the matter to law enforcement, defer the department’s investigation, and work jointly with law enforcement in law enforcement’s investigation. The investigator may share with law enforcement information collected by the department during the joint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investigation is deferred under this paragraph, resume the deferred investigation following completion of the joint investigation if the investigator determines information collected during the joint investigation warrants further investigation. The investigator will complete the resumed investigation within 30 business days of its commencement and will submit a written investigation report to the entities as specified under this rule upon the completion of the resumed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Interview the allegedly abused student, any witnesses or persons who may have knowledge of the circumstances contained in the credible report, and the school employee allegedly involved in the incident identified in the credible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the interview of the allegedly abused student and any other student in a manner similar to that specified in Iowa Code section </w:t>
      </w:r>
      <w:hyperlink r:id="rId29">
        <w:r>
          <w:rPr>
            <w:rStyle w:val="Hyperlink"/>
            <w:rFonts w:ascii="Times New Roman" w:hAnsi="Times New Roman"/>
            <w:b w:val="false"/>
            <w:i w:val="false"/>
            <w:color w:val="000000"/>
            <w:sz w:val="22"/>
          </w:rPr>
          <w:t>232.71B(7)</w:t>
        </w:r>
      </w:hyperlink>
      <w:r>
        <w:rPr>
          <w:rFonts w:ascii="Times New Roman" w:hAnsi="Times New Roman"/>
          <w:b w:val="false"/>
          <w:i w:val="false"/>
          <w:color w:val="000000"/>
          <w:sz w:val="22"/>
        </w:rPr>
        <w:t>, relating to child abuse assessment interviews conducted in facilities or schools as adapted for application to student abuse interviews in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notification to the parent or guardian of the allegedly abused student in a manner similar to that specified in Iowa Code section </w:t>
      </w:r>
      <w:hyperlink r:id="rId30">
        <w:r>
          <w:rPr>
            <w:rStyle w:val="Hyperlink"/>
            <w:rFonts w:ascii="Times New Roman" w:hAnsi="Times New Roman"/>
            <w:b w:val="false"/>
            <w:i w:val="false"/>
            <w:color w:val="000000"/>
            <w:sz w:val="22"/>
          </w:rPr>
          <w:t>232.71B(2)</w:t>
        </w:r>
      </w:hyperlink>
      <w:r>
        <w:rPr>
          <w:rFonts w:ascii="Times New Roman" w:hAnsi="Times New Roman"/>
          <w:b w:val="false"/>
          <w:i w:val="false"/>
          <w:color w:val="000000"/>
          <w:sz w:val="22"/>
        </w:rPr>
        <w:t>, relating to the notification of parents regarding a child abuse assessment as adapted for application to student abuse investigations in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notification to the school employee allegedly involved in the incident in a manner similar to that specified in Iowa Code section </w:t>
      </w:r>
      <w:hyperlink r:id="rId31">
        <w:r>
          <w:rPr>
            <w:rStyle w:val="Hyperlink"/>
            <w:rFonts w:ascii="Times New Roman" w:hAnsi="Times New Roman"/>
            <w:b w:val="false"/>
            <w:i w:val="false"/>
            <w:color w:val="000000"/>
            <w:sz w:val="22"/>
          </w:rPr>
          <w:t>232.71B(4)</w:t>
        </w:r>
      </w:hyperlink>
      <w:r>
        <w:rPr>
          <w:rFonts w:ascii="Times New Roman" w:hAnsi="Times New Roman"/>
          <w:b w:val="false"/>
          <w:i w:val="false"/>
          <w:color w:val="000000"/>
          <w:sz w:val="22"/>
        </w:rPr>
        <w:t>, relating to the notification of a person alleged to have committed child abuse as adapted for application to student abuse investigations in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Complete the investigation within 30 business days of the date of receipt of the credible report unless the investigation is deferred.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in the written investigation report the information specified in department policies and procedures. At a minimum, the written investigation report will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general overview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matter was not referred to law enforcement and the department’s investigation was not deferred, a statement that, in the investigator’s opinion, the allegations in the credible report are either substantiated or unsubstantiated.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matter was referred to law enforcement, the department’s investigation was deferred, and the joint investigation has not been completed, a statement that the allegations in the credible report are inconclusive pending the results of the joint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alternative status or disposition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relevant to the investigation and the department’s determination relating to the allegation of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174.7(2)</w:t>
      </w:r>
      <w:r>
        <w:rPr>
          <w:rFonts w:ascii="Times New Roman" w:hAnsi="Times New Roman"/>
          <w:b w:val="false"/>
          <w:i w:val="false"/>
          <w:color w:val="000000"/>
          <w:sz w:val="22"/>
        </w:rPr>
        <w:t> </w:t>
      </w:r>
      <w:r>
        <w:rPr>
          <w:rFonts w:ascii="Times New Roman" w:hAnsi="Times New Roman"/>
          <w:b w:val="false"/>
          <w:i/>
          <w:color w:val="000000"/>
          <w:sz w:val="22"/>
        </w:rPr>
        <w:t xml:space="preserve">Duties of school authorities.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Granting access and immunity.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a public school district or the authorities in charge of a nonpublic school shall cooperate with the investigator by providing confidential access to the allegedly abused student named in the credible report for the purpose of interviewing the student and shall allow the investigator confidential access to other students for the purpose of conducting interviews to obtain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immunity granted by Iowa Code sections </w:t>
      </w:r>
      <w:hyperlink r:id="rId32">
        <w:r>
          <w:rPr>
            <w:rStyle w:val="Hyperlink"/>
            <w:rFonts w:ascii="Times New Roman" w:hAnsi="Times New Roman"/>
            <w:b w:val="false"/>
            <w:i w:val="false"/>
            <w:color w:val="000000"/>
            <w:sz w:val="22"/>
          </w:rPr>
          <w:t>232.73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235B.3(11)</w:t>
        </w:r>
      </w:hyperlink>
      <w:r>
        <w:rPr>
          <w:rFonts w:ascii="Times New Roman" w:hAnsi="Times New Roman"/>
          <w:b w:val="false"/>
          <w:i w:val="false"/>
          <w:color w:val="000000"/>
          <w:sz w:val="22"/>
        </w:rPr>
        <w:t xml:space="preserve"> applies to participation in good faith by boards of directors of a public school district and the authorities in charge of nonpublic schools, the facilities of a public school or nonpublic school, and public school districts in an investigation and when providing confidential access to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a public school district or the authorities in charge of a nonpublic school shall provide an investigator access to an allegedly abused student’s education records pursuant to </w:t>
      </w:r>
      <w:r>
        <w:rPr>
          <w:rFonts w:ascii="Times New Roman" w:hAnsi="Times New Roman"/>
          <w:b w:val="false"/>
          <w:i w:val="false"/>
          <w:color w:val="000000"/>
          <w:sz w:val="22"/>
        </w:rPr>
        <w:t>34 CFR §99.31</w:t>
      </w:r>
      <w:r>
        <w:rPr>
          <w:rFonts w:ascii="Times New Roman" w:hAnsi="Times New Roman"/>
          <w:b w:val="false"/>
          <w:i w:val="false"/>
          <w:color w:val="000000"/>
          <w:sz w:val="22"/>
        </w:rPr>
        <w:t xml:space="preserve"> as amended to August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441—174.8</w:t>
      </w:r>
      <w:r>
        <w:rPr>
          <w:rFonts w:ascii="Times New Roman" w:hAnsi="Times New Roman"/>
          <w:b/>
          <w:i w:val="false"/>
          <w:color w:val="000000"/>
          <w:sz w:val="22"/>
        </w:rPr>
        <w:t xml:space="preserve">(232E) </w:t>
      </w:r>
      <w:r>
        <w:rPr>
          <w:rFonts w:ascii="Times New Roman" w:hAnsi="Times New Roman"/>
          <w:b/>
          <w:i w:val="false"/>
          <w:color w:val="000000"/>
          <w:sz w:val="22"/>
        </w:rPr>
        <w:t xml:space="preserve">School employee resignation during pendency of investigation. </w:t>
      </w:r>
      <w:r>
        <w:rPr>
          <w:rFonts w:ascii="Times New Roman" w:hAnsi="Times New Roman"/>
          <w:b w:val="false"/>
          <w:i w:val="false"/>
          <w:color w:val="000000"/>
          <w:sz w:val="22"/>
        </w:rPr>
        <w:t xml:space="preserve">Following a determination by the department that a report of alleged student abuse is a credible report, the department will complete the investigation of the credible report in accordance with rule </w:t>
      </w:r>
      <w:hyperlink r:id="rId34">
        <w:r>
          <w:rPr>
            <w:rStyle w:val="Hyperlink"/>
            <w:rFonts w:ascii="Times New Roman" w:hAnsi="Times New Roman"/>
            <w:b w:val="false"/>
            <w:i w:val="false"/>
            <w:color w:val="000000"/>
            <w:sz w:val="22"/>
          </w:rPr>
          <w:t>441—174.7</w:t>
        </w:r>
      </w:hyperlink>
      <w:r>
        <w:rPr>
          <w:rFonts w:ascii="Times New Roman" w:hAnsi="Times New Roman"/>
          <w:b w:val="false"/>
          <w:i w:val="false"/>
          <w:color w:val="000000"/>
          <w:sz w:val="22"/>
        </w:rPr>
        <w:t>(232E), whether the school employee allegedly involved in the incident resigns any time prior to or at the time of the submission of the written investigation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441—174.9</w:t>
      </w:r>
      <w:r>
        <w:rPr>
          <w:rFonts w:ascii="Times New Roman" w:hAnsi="Times New Roman"/>
          <w:b/>
          <w:i w:val="false"/>
          <w:color w:val="000000"/>
          <w:sz w:val="22"/>
        </w:rPr>
        <w:t xml:space="preserve">(232E) </w:t>
      </w:r>
      <w:r>
        <w:rPr>
          <w:rFonts w:ascii="Times New Roman" w:hAnsi="Times New Roman"/>
          <w:b/>
          <w:i w:val="false"/>
          <w:color w:val="000000"/>
          <w:sz w:val="22"/>
        </w:rPr>
        <w:t xml:space="preserve">Substantiated report—right of school employee to contested case proceedings and further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174.9(1)</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the written investigation report is submitted to the board of directors of the public school district or the authorities in charge of the nonpublic school, as applicable, and the board of educational examiners, if applicable, under paragraph </w:t>
      </w:r>
      <w:hyperlink r:id="rId35">
        <w:r>
          <w:rPr>
            <w:rStyle w:val="Hyperlink"/>
            <w:rFonts w:ascii="Times New Roman" w:hAnsi="Times New Roman"/>
            <w:b w:val="false"/>
            <w:i w:val="false"/>
            <w:color w:val="000000"/>
            <w:sz w:val="22"/>
          </w:rPr>
          <w:t>174.7(1)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department will provide notice of the department’s determination regarding the allegation of student abuse to the school employee who is the subject of the investigation pursuant to </w:t>
      </w:r>
      <w:hyperlink r:id="rId36">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174.9(2)</w:t>
      </w:r>
      <w:r>
        <w:rPr>
          <w:rFonts w:ascii="Times New Roman" w:hAnsi="Times New Roman"/>
          <w:b w:val="false"/>
          <w:i w:val="false"/>
          <w:color w:val="000000"/>
          <w:sz w:val="22"/>
        </w:rPr>
        <w:t> </w:t>
      </w:r>
      <w:r>
        <w:rPr>
          <w:rFonts w:ascii="Times New Roman" w:hAnsi="Times New Roman"/>
          <w:b w:val="false"/>
          <w:i w:val="false"/>
          <w:color w:val="000000"/>
          <w:sz w:val="22"/>
        </w:rPr>
        <w:t>If the notice of determination includes a statement that the allegation of student abuse is substantiated, the notice of determination will also inform the school employee who is the subject of the investigation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 employee’s right to contested case proceedings and further review pursuant to </w:t>
      </w:r>
      <w:hyperlink r:id="rId3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right and process to request additional investigation report data and information and disposition data and information as specified in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174.9(3)</w:t>
      </w:r>
      <w:r>
        <w:rPr>
          <w:rFonts w:ascii="Times New Roman" w:hAnsi="Times New Roman"/>
          <w:b w:val="false"/>
          <w:i w:val="false"/>
          <w:color w:val="000000"/>
          <w:sz w:val="22"/>
        </w:rPr>
        <w:t> </w:t>
      </w:r>
      <w:r>
        <w:rPr>
          <w:rFonts w:ascii="Times New Roman" w:hAnsi="Times New Roman"/>
          <w:b w:val="false"/>
          <w:i w:val="false"/>
          <w:color w:val="000000"/>
          <w:sz w:val="22"/>
        </w:rPr>
        <w:t>The appellant must appeal on or before the thirtieth day following the date of notice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174.9(4)</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board of directors of the public school district or the authorities in charge of the nonpublic school, as applicable, and the board of educational examiners, if applicable,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school employee requests contested case proceedings under </w:t>
      </w:r>
      <w:hyperlink r:id="rId3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party requests director’s review pursuant to rule </w:t>
      </w:r>
      <w:hyperlink r:id="rId39">
        <w:r>
          <w:rPr>
            <w:rStyle w:val="Hyperlink"/>
            <w:rFonts w:ascii="Times New Roman" w:hAnsi="Times New Roman"/>
            <w:b w:val="false"/>
            <w:i w:val="false"/>
            <w:color w:val="000000"/>
            <w:sz w:val="22"/>
          </w:rPr>
          <w:t>441—7.11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final decision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174.9(5)</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employment, or other action that may be taken in response to an investigation report by the directors of a public school district or the authorities in charge of a nonpublic school, and the board of educational examiners, if applicable, is stayed during the pendency of the proceedings under subrule </w:t>
      </w:r>
      <w:hyperlink r:id="rId40">
        <w:r>
          <w:rPr>
            <w:rStyle w:val="Hyperlink"/>
            <w:rFonts w:ascii="Times New Roman" w:hAnsi="Times New Roman"/>
            <w:b w:val="false"/>
            <w:i w:val="false"/>
            <w:color w:val="000000"/>
            <w:sz w:val="22"/>
          </w:rPr>
          <w:t>174.9(2)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441—174.10</w:t>
      </w:r>
      <w:r>
        <w:rPr>
          <w:rFonts w:ascii="Times New Roman" w:hAnsi="Times New Roman"/>
          <w:b/>
          <w:i w:val="false"/>
          <w:color w:val="000000"/>
          <w:sz w:val="22"/>
        </w:rPr>
        <w:t xml:space="preserve">(232E) </w:t>
      </w:r>
      <w:r>
        <w:rPr>
          <w:rFonts w:ascii="Times New Roman" w:hAnsi="Times New Roman"/>
          <w:b/>
          <w:i w:val="false"/>
          <w:color w:val="000000"/>
          <w:sz w:val="22"/>
        </w:rPr>
        <w:t xml:space="preserve">Case record retention—protection of identifiable source—disclosure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retain the case record, including the intake report, the written investigation report, and all related supporting documentation, for three years from the date the written investigation report is submitted pursuant to paragraph </w:t>
      </w:r>
      <w:hyperlink r:id="rId41">
        <w:r>
          <w:rPr>
            <w:rStyle w:val="Hyperlink"/>
            <w:rFonts w:ascii="Times New Roman" w:hAnsi="Times New Roman"/>
            <w:b w:val="false"/>
            <w:i w:val="false"/>
            <w:color w:val="000000"/>
            <w:sz w:val="22"/>
          </w:rPr>
          <w:t>174.7(1)</w:t>
        </w:r>
      </w:hyperlink>
      <w:r>
        <w:rPr>
          <w:rFonts w:ascii="Times New Roman" w:hAnsi="Times New Roman"/>
          <w:b w:val="false"/>
          <w:i/>
          <w:color w:val="000000"/>
          <w:sz w:val="22"/>
        </w:rPr>
        <w:t>“e”</w:t>
      </w:r>
      <w:r>
        <w:rPr>
          <w:rFonts w:ascii="Times New Roman" w:hAnsi="Times New Roman"/>
          <w:b w:val="false"/>
          <w:i w:val="false"/>
          <w:color w:val="000000"/>
          <w:sz w:val="22"/>
        </w:rPr>
        <w:t xml:space="preserve"> to the director of the public school district or the authorities in charge of the nonpublic school, as applicable, and the board of educational examiners,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174.10(2)</w:t>
      </w:r>
      <w:r>
        <w:rPr>
          <w:rFonts w:ascii="Times New Roman" w:hAnsi="Times New Roman"/>
          <w:b w:val="false"/>
          <w:i w:val="false"/>
          <w:color w:val="000000"/>
          <w:sz w:val="22"/>
        </w:rPr>
        <w:t> </w:t>
      </w:r>
      <w:r>
        <w:rPr>
          <w:rFonts w:ascii="Times New Roman" w:hAnsi="Times New Roman"/>
          <w:b w:val="false"/>
          <w:i w:val="false"/>
          <w:color w:val="000000"/>
          <w:sz w:val="22"/>
        </w:rPr>
        <w:t>The name and identity of the identifiable source of a report of alleged student abuse will not be disclosed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department personnel and law enforcement involved in, and as necessary to perform official duties related to, the reporting and investigation of a specific allegation of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board of educational examiners if the allegation of student abuse involves a school employee who is licensed, certified, or authorized by the board of educational examiners, or who holds an active statement of recognition issued by the board of educational examiners, as necessary to perform official duties related to the specific allegation of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other persons for good cause as determined by the department based on criteria specified in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174.10(3)</w:t>
      </w:r>
      <w:r>
        <w:rPr>
          <w:rFonts w:ascii="Times New Roman" w:hAnsi="Times New Roman"/>
          <w:b w:val="false"/>
          <w:i w:val="false"/>
          <w:color w:val="000000"/>
          <w:sz w:val="22"/>
        </w:rPr>
        <w:t> </w:t>
      </w:r>
      <w:r>
        <w:rPr>
          <w:rFonts w:ascii="Times New Roman" w:hAnsi="Times New Roman"/>
          <w:b w:val="false"/>
          <w:i w:val="false"/>
          <w:color w:val="000000"/>
          <w:sz w:val="22"/>
        </w:rPr>
        <w:t>Student abuse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 abuse information is confidential and shall not be a public record under Iowa Code chapter </w:t>
      </w:r>
      <w:hyperlink r:id="rId4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confidentiality of all student abuse information will be maintained, except as specifically provided in these rules and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 abuse information may be shared with department personnel as necessary to perform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With the exception of the name and identity of the identifiable source, the disclosure of which is subject to subrule </w:t>
      </w:r>
      <w:hyperlink r:id="rId43">
        <w:r>
          <w:rPr>
            <w:rStyle w:val="Hyperlink"/>
            <w:rFonts w:ascii="Times New Roman" w:hAnsi="Times New Roman"/>
            <w:b w:val="false"/>
            <w:i w:val="false"/>
            <w:color w:val="000000"/>
            <w:sz w:val="22"/>
          </w:rPr>
          <w:t>174.10(2)</w:t>
        </w:r>
      </w:hyperlink>
      <w:r>
        <w:rPr>
          <w:rFonts w:ascii="Times New Roman" w:hAnsi="Times New Roman"/>
          <w:b w:val="false"/>
          <w:i w:val="false"/>
          <w:color w:val="000000"/>
          <w:sz w:val="22"/>
        </w:rPr>
        <w:t>, any investigation report data and information and disposition data and information, as specified by department policies and procedures, may be disclosed, upon request, only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student named in the report of student abuse as the victim or the student’s attorney or guardian ad litem.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or the attorney for the parent or guardian of the student named in the report of student abuse as the victim.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or the attorney for the person named in a report as having abused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Law enforcement involved in the investigation of the report of student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the public school district or the authorities in charge of the nonpublic school, as applicable, and the board of educational examiners, if applicable, that received the written investigation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or court involved in a contested case proceeding or further review upon a finding that the information is necessary for the resolution of an issue arising in any phase of a case involving a determination of a substantiated allegation of student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441—174.11</w:t>
      </w:r>
      <w:r>
        <w:rPr>
          <w:rFonts w:ascii="Times New Roman" w:hAnsi="Times New Roman"/>
          <w:b/>
          <w:i w:val="false"/>
          <w:color w:val="000000"/>
          <w:sz w:val="22"/>
        </w:rPr>
        <w:t xml:space="preserve">(232E) </w:t>
      </w:r>
      <w:r>
        <w:rPr>
          <w:rFonts w:ascii="Times New Roman" w:hAnsi="Times New Roman"/>
          <w:b/>
          <w:i w:val="false"/>
          <w:color w:val="000000"/>
          <w:sz w:val="22"/>
        </w:rPr>
        <w:t xml:space="preserve">Substantial compliance. </w:t>
      </w:r>
      <w:r>
        <w:rPr>
          <w:rFonts w:ascii="Times New Roman" w:hAnsi="Times New Roman"/>
          <w:b w:val="false"/>
          <w:i w:val="false"/>
          <w:color w:val="000000"/>
          <w:sz w:val="22"/>
        </w:rPr>
        <w:t>Because investigative procedures seldom allow for rigid observance of the protocol, substantial compliance with these rules is required with the overriding goal of reaching a fair and unbiased resolution of a report of alleged student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4">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9953C</w:t>
      </w:r>
      <w:r>
        <w:rPr>
          <w:rFonts w:ascii="Times New Roman" w:hAnsi="Times New Roman"/>
          <w:b w:val="false"/>
          <w:i w:val="false"/>
          <w:color w:val="000000"/>
          <w:sz w:val="21"/>
        </w:rPr>
        <w:t xml:space="preserve"> (Notice ARC 9641C, IAB 10/29/25)</w:t>
      </w:r>
      <w:r>
        <w:rPr>
          <w:rFonts w:ascii="Times New Roman" w:hAnsi="Times New Roman"/>
          <w:b w:val="false"/>
          <w:i w:val="false"/>
          <w:color w:val="000000"/>
          <w:sz w:val="21"/>
        </w:rPr>
        <w:t>, IAB 1/7/26, effective 3/1/26]</w:t>
      </w:r>
    </w:p>
    <w:sectPr>
      <w:footerReference r:id="rId45"/>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E.pdf" Type="http://schemas.openxmlformats.org/officeDocument/2006/relationships/hyperlink" Id="rId5"/>
    <Relationship TargetMode="External" Target="https://www.legis.iowa.gov/docs/ico/chapter/232E.pdf" Type="http://schemas.openxmlformats.org/officeDocument/2006/relationships/hyperlink" Id="rId6"/>
    <Relationship TargetMode="External" Target="https://www.legis.iowa.gov/docs/ico/chapter/232E.pdf" Type="http://schemas.openxmlformats.org/officeDocument/2006/relationships/hyperlink" Id="rId7"/>
    <Relationship TargetMode="External" Target="https://www.legis.iowa.gov/docs/ico/chapter/232E.pdf" Type="http://schemas.openxmlformats.org/officeDocument/2006/relationships/hyperlink" Id="rId8"/>
    <Relationship TargetMode="External" Target="https://www.legis.iowa.gov/docs/iac/rule/441.174.9.pdf" Type="http://schemas.openxmlformats.org/officeDocument/2006/relationships/hyperlink" Id="rId9"/>
    <Relationship TargetMode="External" Target="https://www.legis.iowa.gov/docs/iac/rule/441.174.10.pdf" Type="http://schemas.openxmlformats.org/officeDocument/2006/relationships/hyperlink" Id="rId10"/>
    <Relationship TargetMode="External" Target="https://www.legis.iowa.gov/docs/ico/chapter/232E.pdf" Type="http://schemas.openxmlformats.org/officeDocument/2006/relationships/hyperlink" Id="rId11"/>
    <Relationship TargetMode="External" Target="https://www.legis.iowa.gov/docs/iac/rule/441.174.9.pdf" Type="http://schemas.openxmlformats.org/officeDocument/2006/relationships/hyperlink" Id="rId12"/>
    <Relationship TargetMode="External" Target="https://www.legis.iowa.gov/docs/iac/rule/441.174.10.pdf" Type="http://schemas.openxmlformats.org/officeDocument/2006/relationships/hyperlink" Id="rId13"/>
    <Relationship TargetMode="External" Target="https://www.legis.iowa.gov/docs/ico/chapter/232E.pdf" Type="http://schemas.openxmlformats.org/officeDocument/2006/relationships/hyperlink" Id="rId14"/>
    <Relationship TargetMode="External" Target="https://www.legis.iowa.gov/docs/ico/chapter/232E.pdf" Type="http://schemas.openxmlformats.org/officeDocument/2006/relationships/hyperlink" Id="rId15"/>
    <Relationship TargetMode="External" Target="https://www.legis.iowa.gov/docs/ico/chapter/232E.pdf" Type="http://schemas.openxmlformats.org/officeDocument/2006/relationships/hyperlink" Id="rId16"/>
    <Relationship TargetMode="External" Target="https://www.legis.iowa.gov/docs/ico/chapter/232E.pdf" Type="http://schemas.openxmlformats.org/officeDocument/2006/relationships/hyperlink" Id="rId17"/>
    <Relationship TargetMode="External" Target="https://www.legis.iowa.gov/docs/ico/chapter/232E.pdf" Type="http://schemas.openxmlformats.org/officeDocument/2006/relationships/hyperlink" Id="rId18"/>
    <Relationship TargetMode="External" Target="https://www.legis.iowa.gov/docs/ico/chapter/232E.pdf" Type="http://schemas.openxmlformats.org/officeDocument/2006/relationships/hyperlink" Id="rId19"/>
    <Relationship TargetMode="External" Target="https://www.legis.iowa.gov/docs/ico/chapter/232E.pdf" Type="http://schemas.openxmlformats.org/officeDocument/2006/relationships/hyperlink" Id="rId20"/>
    <Relationship TargetMode="External" Target="https://www.legis.iowa.gov/docs/ico/chapter/232.pdf" Type="http://schemas.openxmlformats.org/officeDocument/2006/relationships/hyperlink" Id="rId21"/>
    <Relationship TargetMode="External" Target="https://www.legis.iowa.gov/docs/ico/chapter/235B.pdf" Type="http://schemas.openxmlformats.org/officeDocument/2006/relationships/hyperlink" Id="rId22"/>
    <Relationship TargetMode="External" Target="https://www.legis.iowa.gov/docs/ico/chapter/232.pdf" Type="http://schemas.openxmlformats.org/officeDocument/2006/relationships/hyperlink" Id="rId23"/>
    <Relationship TargetMode="External" Target="https://www.legis.iowa.gov/docs/ico/chapter/235B.pdf" Type="http://schemas.openxmlformats.org/officeDocument/2006/relationships/hyperlink" Id="rId24"/>
    <Relationship TargetMode="External" Target="https://www.legis.iowa.gov/docs/ico/chapter/232.70.pdf" Type="http://schemas.openxmlformats.org/officeDocument/2006/relationships/hyperlink" Id="rId25"/>
    <Relationship TargetMode="External" Target="https://www.legis.iowa.gov/docs/iac/rule/441.174.4.pdf" Type="http://schemas.openxmlformats.org/officeDocument/2006/relationships/hyperlink" Id="rId26"/>
    <Relationship TargetMode="External" Target="https://www.legis.iowa.gov/docs/ico/chapter/280.21.pdf" Type="http://schemas.openxmlformats.org/officeDocument/2006/relationships/hyperlink" Id="rId27"/>
    <Relationship TargetMode="External" Target="https://www.legis.iowa.gov/docs/iac/rule/441.174.4.pdf" Type="http://schemas.openxmlformats.org/officeDocument/2006/relationships/hyperlink" Id="rId28"/>
    <Relationship TargetMode="External" Target="https://www.legis.iowa.gov/docs/ico/chapter/232.71B.pdf" Type="http://schemas.openxmlformats.org/officeDocument/2006/relationships/hyperlink" Id="rId29"/>
    <Relationship TargetMode="External" Target="https://www.legis.iowa.gov/docs/ico/chapter/232.71B.pdf" Type="http://schemas.openxmlformats.org/officeDocument/2006/relationships/hyperlink" Id="rId30"/>
    <Relationship TargetMode="External" Target="https://www.legis.iowa.gov/docs/ico/chapter/232.71B.pdf" Type="http://schemas.openxmlformats.org/officeDocument/2006/relationships/hyperlink" Id="rId31"/>
    <Relationship TargetMode="External" Target="https://www.legis.iowa.gov/docs/ico/chapter/232.73.pdf" Type="http://schemas.openxmlformats.org/officeDocument/2006/relationships/hyperlink" Id="rId32"/>
    <Relationship TargetMode="External" Target="https://www.legis.iowa.gov/docs/ico/chapter/235B.3.pdf" Type="http://schemas.openxmlformats.org/officeDocument/2006/relationships/hyperlink" Id="rId33"/>
    <Relationship TargetMode="External" Target="https://www.legis.iowa.gov/docs/iac/rule/441.174.7.pdf" Type="http://schemas.openxmlformats.org/officeDocument/2006/relationships/hyperlink" Id="rId34"/>
    <Relationship TargetMode="External" Target="https://www.legis.iowa.gov/docs/iac/rule/441.174.7.pdf" Type="http://schemas.openxmlformats.org/officeDocument/2006/relationships/hyperlink" Id="rId35"/>
    <Relationship TargetMode="External" Target="https://www.legis.iowa.gov/docs/iac/chapter/441.16.pdf" Type="http://schemas.openxmlformats.org/officeDocument/2006/relationships/hyperlink" Id="rId36"/>
    <Relationship TargetMode="External" Target="https://www.legis.iowa.gov/docs/iac/chapter/441.7.pdf" Type="http://schemas.openxmlformats.org/officeDocument/2006/relationships/hyperlink" Id="rId37"/>
    <Relationship TargetMode="External" Target="https://www.legis.iowa.gov/docs/iac/chapter/441.7.pdf" Type="http://schemas.openxmlformats.org/officeDocument/2006/relationships/hyperlink" Id="rId38"/>
    <Relationship TargetMode="External" Target="https://www.legis.iowa.gov/docs/iac/rule/441.7.11.pdf" Type="http://schemas.openxmlformats.org/officeDocument/2006/relationships/hyperlink" Id="rId39"/>
    <Relationship TargetMode="External" Target="https://www.legis.iowa.gov/docs/iac/rule/441.174.9.pdf" Type="http://schemas.openxmlformats.org/officeDocument/2006/relationships/hyperlink" Id="rId40"/>
    <Relationship TargetMode="External" Target="https://www.legis.iowa.gov/docs/iac/rule/441.174.7.pdf" Type="http://schemas.openxmlformats.org/officeDocument/2006/relationships/hyperlink" Id="rId41"/>
    <Relationship TargetMode="External" Target="https://www.legis.iowa.gov/docs/ico/chapter/22.pdf" Type="http://schemas.openxmlformats.org/officeDocument/2006/relationships/hyperlink" Id="rId42"/>
    <Relationship TargetMode="External" Target="https://www.legis.iowa.gov/docs/iac/rule/441.174.10.pdf" Type="http://schemas.openxmlformats.org/officeDocument/2006/relationships/hyperlink" Id="rId43"/>
    <Relationship TargetMode="External" Target="https://www.legis.iowa.gov/docs/ico/chapter/232E.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