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30</w:t>
      </w:r>
    </w:p>
    <w:p>
      <w:pPr>
        <w:spacing w:before="0" w:after="0"/>
        <w:ind w:left="120"/>
        <w:jc w:val="center"/>
      </w:pPr>
      <w:r>
        <w:rPr>
          <w:rFonts w:ascii="Times New Roman" w:hAnsi="Times New Roman"/>
          <w:b w:val="false"/>
          <w:i w:val="false"/>
          <w:color w:val="000000"/>
          <w:sz w:val="21"/>
        </w:rPr>
        <w:t>STEM INTERNSHIP PROGRAM</w:t>
      </w:r>
    </w:p>
    <w:p>
      <w:pPr>
        <w:spacing w:before="0" w:after="0"/>
        <w:ind w:left="120"/>
        <w:jc w:val="center"/>
      </w:pPr>
      <w:r>
        <w:rPr>
          <w:rFonts w:ascii="Times New Roman" w:hAnsi="Times New Roman"/>
          <w:b w:val="false"/>
          <w:i w:val="false"/>
          <w:color w:val="000000"/>
          <w:sz w:val="14"/>
        </w:rPr>
        <w:t>[Prior to 11/1/23, see Economic Development Authority[261] Ch 110]</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877—30.1</w:t>
      </w:r>
      <w:r>
        <w:rPr>
          <w:rFonts w:ascii="Times New Roman" w:hAnsi="Times New Roman"/>
          <w:b/>
          <w:i w:val="false"/>
          <w:color w:val="000000"/>
          <w:sz w:val="22"/>
        </w:rPr>
        <w:t xml:space="preserve">(15,85GA,ch1132,86GA,SF510) </w:t>
      </w:r>
      <w:r>
        <w:rPr>
          <w:rFonts w:ascii="Times New Roman" w:hAnsi="Times New Roman"/>
          <w:b/>
          <w:i w:val="false"/>
          <w:color w:val="000000"/>
          <w:sz w:val="22"/>
        </w:rPr>
        <w:t xml:space="preserve">Authority. </w:t>
      </w:r>
      <w:r>
        <w:rPr>
          <w:rFonts w:ascii="Times New Roman" w:hAnsi="Times New Roman"/>
          <w:b w:val="false"/>
          <w:i w:val="false"/>
          <w:color w:val="000000"/>
          <w:sz w:val="22"/>
        </w:rPr>
        <w:t xml:space="preserve">The authority for adopting rules establishing a STEM internship program is provided in Iowa Code section </w:t>
      </w:r>
      <w:hyperlink r:id="rId5">
        <w:r>
          <w:rPr>
            <w:rStyle w:val="Hyperlink"/>
            <w:rFonts w:ascii="Times New Roman" w:hAnsi="Times New Roman"/>
            <w:b w:val="false"/>
            <w:i w:val="false"/>
            <w:color w:val="000000"/>
            <w:sz w:val="22"/>
          </w:rPr>
          <w:t>15.411(3)</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2015 Iowa Acts, Senate File 510</w:t>
      </w:r>
      <w:r>
        <w:rPr>
          <w:rFonts w:ascii="Times New Roman" w:hAnsi="Times New Roman"/>
          <w:b w:val="false"/>
          <w:i w:val="false"/>
          <w:color w:val="000000"/>
          <w:sz w:val="22"/>
        </w:rPr>
        <w:t xml:space="preserve">, division XI, and in Iowa Code section </w:t>
      </w:r>
      <w:hyperlink r:id="rId6">
        <w:r>
          <w:rPr>
            <w:rStyle w:val="Hyperlink"/>
            <w:rFonts w:ascii="Times New Roman" w:hAnsi="Times New Roman"/>
            <w:b w:val="false"/>
            <w:i w:val="false"/>
            <w:color w:val="000000"/>
            <w:sz w:val="22"/>
          </w:rPr>
          <w:t>15.106A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2099C</w:t>
      </w:r>
      <w:r>
        <w:rPr>
          <w:rFonts w:ascii="Times New Roman" w:hAnsi="Times New Roman"/>
          <w:b w:val="false"/>
          <w:i w:val="false"/>
          <w:color w:val="000000"/>
          <w:sz w:val="16"/>
        </w:rPr>
        <w:t>, IAB 8/19/15, effective 7/20/15</w:t>
      </w:r>
      <w:r>
        <w:rPr>
          <w:rFonts w:ascii="Times New Roman" w:hAnsi="Times New Roman"/>
          <w:b w:val="false"/>
          <w:i w:val="false"/>
          <w:color w:val="000000"/>
          <w:sz w:val="16"/>
        </w:rPr>
        <w:t xml:space="preserve">; </w:t>
      </w:r>
      <w:r>
        <w:rPr>
          <w:rFonts w:ascii="Times New Roman" w:hAnsi="Times New Roman"/>
          <w:b/>
          <w:i w:val="false"/>
          <w:color w:val="000000"/>
          <w:sz w:val="16"/>
        </w:rPr>
        <w:t>ARC 2316C</w:t>
      </w:r>
      <w:r>
        <w:rPr>
          <w:rFonts w:ascii="Times New Roman" w:hAnsi="Times New Roman"/>
          <w:b w:val="false"/>
          <w:i w:val="false"/>
          <w:color w:val="000000"/>
          <w:sz w:val="16"/>
        </w:rPr>
        <w:t>, IAB 12/23/15, effective 1/27/16</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11/1/23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877—30.2</w:t>
      </w:r>
      <w:r>
        <w:rPr>
          <w:rFonts w:ascii="Times New Roman" w:hAnsi="Times New Roman"/>
          <w:b/>
          <w:i w:val="false"/>
          <w:color w:val="000000"/>
          <w:sz w:val="22"/>
        </w:rPr>
        <w:t xml:space="preserve">(15,85GA,ch1132,86GA,SF510) </w:t>
      </w:r>
      <w:r>
        <w:rPr>
          <w:rFonts w:ascii="Times New Roman" w:hAnsi="Times New Roman"/>
          <w:b/>
          <w:i w:val="false"/>
          <w:color w:val="000000"/>
          <w:sz w:val="22"/>
        </w:rPr>
        <w:t xml:space="preserve">Purpose. </w:t>
      </w:r>
      <w:r>
        <w:rPr>
          <w:rFonts w:ascii="Times New Roman" w:hAnsi="Times New Roman"/>
          <w:b w:val="false"/>
          <w:i w:val="false"/>
          <w:color w:val="000000"/>
          <w:sz w:val="22"/>
        </w:rPr>
        <w:t>The purpose of the STEM internship program is to assist in placing Iowa students studying in the fields of science, technology, engineering, and mathematics into internships that lead to permanent positions with Iowa employers.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2099C</w:t>
      </w:r>
      <w:r>
        <w:rPr>
          <w:rFonts w:ascii="Times New Roman" w:hAnsi="Times New Roman"/>
          <w:b w:val="false"/>
          <w:i w:val="false"/>
          <w:color w:val="000000"/>
          <w:sz w:val="16"/>
        </w:rPr>
        <w:t>, IAB 8/19/15, effective 7/20/15</w:t>
      </w:r>
      <w:r>
        <w:rPr>
          <w:rFonts w:ascii="Times New Roman" w:hAnsi="Times New Roman"/>
          <w:b w:val="false"/>
          <w:i w:val="false"/>
          <w:color w:val="000000"/>
          <w:sz w:val="16"/>
        </w:rPr>
        <w:t xml:space="preserve">; </w:t>
      </w:r>
      <w:r>
        <w:rPr>
          <w:rFonts w:ascii="Times New Roman" w:hAnsi="Times New Roman"/>
          <w:b/>
          <w:i w:val="false"/>
          <w:color w:val="000000"/>
          <w:sz w:val="16"/>
        </w:rPr>
        <w:t>ARC 2316C</w:t>
      </w:r>
      <w:r>
        <w:rPr>
          <w:rFonts w:ascii="Times New Roman" w:hAnsi="Times New Roman"/>
          <w:b w:val="false"/>
          <w:i w:val="false"/>
          <w:color w:val="000000"/>
          <w:sz w:val="16"/>
        </w:rPr>
        <w:t>, IAB 12/23/15, effective 1/27/16</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11/1/23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877—30.3</w:t>
      </w:r>
      <w:r>
        <w:rPr>
          <w:rFonts w:ascii="Times New Roman" w:hAnsi="Times New Roman"/>
          <w:b/>
          <w:i w:val="false"/>
          <w:color w:val="000000"/>
          <w:sz w:val="22"/>
        </w:rPr>
        <w:t xml:space="preserve">(15)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“Authority” </w:t>
      </w:r>
      <w:r>
        <w:rPr>
          <w:rFonts w:ascii="Times New Roman" w:hAnsi="Times New Roman"/>
          <w:b w:val="false"/>
          <w:i w:val="false"/>
          <w:color w:val="000000"/>
          <w:sz w:val="22"/>
        </w:rPr>
        <w:t xml:space="preserve">means Iowa workforce development created in Iowa Code section </w:t>
      </w:r>
      <w:hyperlink r:id="rId7">
        <w:r>
          <w:rPr>
            <w:rStyle w:val="Hyperlink"/>
            <w:rFonts w:ascii="Times New Roman" w:hAnsi="Times New Roman"/>
            <w:b w:val="false"/>
            <w:i w:val="false"/>
            <w:color w:val="000000"/>
            <w:sz w:val="22"/>
          </w:rPr>
          <w:t>84A.1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“Board” </w:t>
      </w:r>
      <w:r>
        <w:rPr>
          <w:rFonts w:ascii="Times New Roman" w:hAnsi="Times New Roman"/>
          <w:b w:val="false"/>
          <w:i w:val="false"/>
          <w:color w:val="000000"/>
          <w:sz w:val="22"/>
        </w:rPr>
        <w:t xml:space="preserve">means the members of the economic development authority appointed by the governor and in whom the powers of the authority are vested pursuant to Iowa Code section </w:t>
      </w:r>
      <w:hyperlink r:id="rId8">
        <w:r>
          <w:rPr>
            <w:rStyle w:val="Hyperlink"/>
            <w:rFonts w:ascii="Times New Roman" w:hAnsi="Times New Roman"/>
            <w:b w:val="false"/>
            <w:i w:val="false"/>
            <w:color w:val="000000"/>
            <w:sz w:val="22"/>
          </w:rPr>
          <w:t>15.105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“Business” </w:t>
      </w:r>
      <w:r>
        <w:rPr>
          <w:rFonts w:ascii="Times New Roman" w:hAnsi="Times New Roman"/>
          <w:b w:val="false"/>
          <w:i w:val="false"/>
          <w:color w:val="000000"/>
          <w:sz w:val="22"/>
        </w:rPr>
        <w:t>means any enterprise located in this state which is operated for profit and under a single management.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“Committee” </w:t>
      </w:r>
      <w:r>
        <w:rPr>
          <w:rFonts w:ascii="Times New Roman" w:hAnsi="Times New Roman"/>
          <w:b w:val="false"/>
          <w:i w:val="false"/>
          <w:color w:val="000000"/>
          <w:sz w:val="22"/>
        </w:rPr>
        <w:t xml:space="preserve">means the technology commercialization committee established by the board pursuant to </w:t>
      </w:r>
      <w:hyperlink r:id="rId9">
        <w:r>
          <w:rPr>
            <w:rStyle w:val="Hyperlink"/>
            <w:rFonts w:ascii="Times New Roman" w:hAnsi="Times New Roman"/>
            <w:b w:val="false"/>
            <w:i w:val="false"/>
            <w:color w:val="000000"/>
            <w:sz w:val="22"/>
          </w:rPr>
          <w:t>261—Chapter 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“Community college” </w:t>
      </w:r>
      <w:r>
        <w:rPr>
          <w:rFonts w:ascii="Times New Roman" w:hAnsi="Times New Roman"/>
          <w:b w:val="false"/>
          <w:i w:val="false"/>
          <w:color w:val="000000"/>
          <w:sz w:val="22"/>
        </w:rPr>
        <w:t xml:space="preserve">means a community college established under Iowa Code chapter </w:t>
      </w:r>
      <w:hyperlink r:id="rId10">
        <w:r>
          <w:rPr>
            <w:rStyle w:val="Hyperlink"/>
            <w:rFonts w:ascii="Times New Roman" w:hAnsi="Times New Roman"/>
            <w:b w:val="false"/>
            <w:i w:val="false"/>
            <w:color w:val="000000"/>
            <w:sz w:val="22"/>
          </w:rPr>
          <w:t>260C</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“Designated internship period” </w:t>
      </w:r>
      <w:r>
        <w:rPr>
          <w:rFonts w:ascii="Times New Roman" w:hAnsi="Times New Roman"/>
          <w:b w:val="false"/>
          <w:i w:val="false"/>
          <w:color w:val="000000"/>
          <w:sz w:val="22"/>
        </w:rPr>
        <w:t>means the summer or semester internship during which a student is employed in an internship.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“Director” </w:t>
      </w:r>
      <w:r>
        <w:rPr>
          <w:rFonts w:ascii="Times New Roman" w:hAnsi="Times New Roman"/>
          <w:b w:val="false"/>
          <w:i w:val="false"/>
          <w:color w:val="000000"/>
          <w:sz w:val="22"/>
        </w:rPr>
        <w:t>means the director of the economic development authority.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“Internship” </w:t>
      </w:r>
      <w:r>
        <w:rPr>
          <w:rFonts w:ascii="Times New Roman" w:hAnsi="Times New Roman"/>
          <w:b w:val="false"/>
          <w:i w:val="false"/>
          <w:color w:val="000000"/>
          <w:sz w:val="22"/>
        </w:rPr>
        <w:t>means temporary employment of a student that focuses on providing the student with work experience in the student’s field of study.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“Program” </w:t>
      </w:r>
      <w:r>
        <w:rPr>
          <w:rFonts w:ascii="Times New Roman" w:hAnsi="Times New Roman"/>
          <w:b w:val="false"/>
          <w:i w:val="false"/>
          <w:color w:val="000000"/>
          <w:sz w:val="22"/>
        </w:rPr>
        <w:t>means the STEM internship program established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“STEM field” </w:t>
      </w:r>
      <w:r>
        <w:rPr>
          <w:rFonts w:ascii="Times New Roman" w:hAnsi="Times New Roman"/>
          <w:b w:val="false"/>
          <w:i w:val="false"/>
          <w:color w:val="000000"/>
          <w:sz w:val="22"/>
        </w:rPr>
        <w:t xml:space="preserve">means a major course of study within the fields of science, technology, engineering, or mathematics or a related field. For purposes of this chapter, STEM field includes all majors and academic or degree programs listed on the ACT-defined STEM majors and occupations by area list. The ACT-defined STEM majors and occupations by area list may be found at </w:t>
      </w:r>
      <w:hyperlink r:id="rId11">
        <w:r>
          <w:rPr>
            <w:rStyle w:val="Hyperlink"/>
            <w:rFonts w:ascii="Times New Roman" w:hAnsi="Times New Roman"/>
            <w:b w:val="false"/>
            <w:i w:val="false"/>
            <w:color w:val="000000"/>
            <w:sz w:val="22"/>
            <w:u w:val="single"/>
          </w:rPr>
          <w:t>http://www.act.org</w:t>
        </w:r>
      </w:hyperlink>
      <w:r>
        <w:rPr>
          <w:rFonts w:ascii="Times New Roman" w:hAnsi="Times New Roman"/>
          <w:b w:val="false"/>
          <w:i w:val="false"/>
          <w:color w:val="000000"/>
          <w:sz w:val="22"/>
        </w:rPr>
        <w:t>. If a student has declared a major or enrolled in an academic or degree program not listed on the ACT-defined STEM majors and occupations by area list, the student may still be found eligible for participation in the program if, in the authority’s sole discretion, the student’s major is substantially similar to a major that is listed on the ACT-defined STEM majors and occupations by area list.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“Student” </w:t>
      </w:r>
      <w:r>
        <w:rPr>
          <w:rFonts w:ascii="Times New Roman" w:hAnsi="Times New Roman"/>
          <w:b w:val="false"/>
          <w:i w:val="false"/>
          <w:color w:val="000000"/>
          <w:sz w:val="22"/>
        </w:rPr>
        <w:t>means a student of one of the Iowa community colleges, private colleges, or institutions of higher learning under the control of the state board of regents or a student who graduated from high school in Iowa but now attends an institution of higher learning outside the state of Iowa.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2099C</w:t>
      </w:r>
      <w:r>
        <w:rPr>
          <w:rFonts w:ascii="Times New Roman" w:hAnsi="Times New Roman"/>
          <w:b w:val="false"/>
          <w:i w:val="false"/>
          <w:color w:val="000000"/>
          <w:sz w:val="16"/>
        </w:rPr>
        <w:t>, IAB 8/19/15, effective 7/20/15</w:t>
      </w:r>
      <w:r>
        <w:rPr>
          <w:rFonts w:ascii="Times New Roman" w:hAnsi="Times New Roman"/>
          <w:b w:val="false"/>
          <w:i w:val="false"/>
          <w:color w:val="000000"/>
          <w:sz w:val="16"/>
        </w:rPr>
        <w:t xml:space="preserve">; </w:t>
      </w:r>
      <w:r>
        <w:rPr>
          <w:rFonts w:ascii="Times New Roman" w:hAnsi="Times New Roman"/>
          <w:b/>
          <w:i w:val="false"/>
          <w:color w:val="000000"/>
          <w:sz w:val="16"/>
        </w:rPr>
        <w:t>ARC 2316C</w:t>
      </w:r>
      <w:r>
        <w:rPr>
          <w:rFonts w:ascii="Times New Roman" w:hAnsi="Times New Roman"/>
          <w:b w:val="false"/>
          <w:i w:val="false"/>
          <w:color w:val="000000"/>
          <w:sz w:val="16"/>
        </w:rPr>
        <w:t>, IAB 12/23/15, effective 1/27/16</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11/1/23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877—30.4</w:t>
      </w:r>
      <w:r>
        <w:rPr>
          <w:rFonts w:ascii="Times New Roman" w:hAnsi="Times New Roman"/>
          <w:b/>
          <w:i w:val="false"/>
          <w:color w:val="000000"/>
          <w:sz w:val="22"/>
        </w:rPr>
        <w:t xml:space="preserve">(15,85GA,ch1132,86GA,SF510) </w:t>
      </w:r>
      <w:r>
        <w:rPr>
          <w:rFonts w:ascii="Times New Roman" w:hAnsi="Times New Roman"/>
          <w:b/>
          <w:i w:val="false"/>
          <w:color w:val="000000"/>
          <w:sz w:val="22"/>
        </w:rPr>
        <w:t xml:space="preserve">Program funding and disbursement.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30.4(1)</w:t>
      </w:r>
      <w:r>
        <w:rPr>
          <w:rFonts w:ascii="Times New Roman" w:hAnsi="Times New Roman"/>
          <w:b w:val="false"/>
          <w:i w:val="false"/>
          <w:color w:val="000000"/>
          <w:sz w:val="22"/>
        </w:rPr>
        <w:t> </w:t>
      </w:r>
      <w:r>
        <w:rPr>
          <w:rFonts w:ascii="Times New Roman" w:hAnsi="Times New Roman"/>
          <w:b w:val="false"/>
          <w:i w:val="false"/>
          <w:color w:val="000000"/>
          <w:sz w:val="22"/>
        </w:rPr>
        <w:t>The maximum amount awarded to an employer for any one internship shall not exceed $5,000. The maximum amount that may be awarded to any one employer in any one fiscal year shall not exceed $50,000.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30.4(2)</w:t>
      </w:r>
      <w:r>
        <w:rPr>
          <w:rFonts w:ascii="Times New Roman" w:hAnsi="Times New Roman"/>
          <w:b w:val="false"/>
          <w:i w:val="false"/>
          <w:color w:val="000000"/>
          <w:sz w:val="22"/>
        </w:rPr>
        <w:t> </w:t>
      </w:r>
      <w:r>
        <w:rPr>
          <w:rFonts w:ascii="Times New Roman" w:hAnsi="Times New Roman"/>
          <w:b w:val="false"/>
          <w:i w:val="false"/>
          <w:color w:val="000000"/>
          <w:sz w:val="22"/>
        </w:rPr>
        <w:t>Funds shall only be used for reimbursement of wages paid during the designated internship period. An employer must pay students hired as interns an hourly wage that is at least twice the minimum wage. An employer may apply for program funding for an internship beginning prior to July 1, 2014, but the authority will only reimburse the employer for wages paid on or after July 1, 2014.</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30.4(3)</w:t>
      </w:r>
      <w:r>
        <w:rPr>
          <w:rFonts w:ascii="Times New Roman" w:hAnsi="Times New Roman"/>
          <w:b w:val="false"/>
          <w:i w:val="false"/>
          <w:color w:val="000000"/>
          <w:sz w:val="22"/>
        </w:rPr>
        <w:t> </w:t>
      </w:r>
      <w:r>
        <w:rPr>
          <w:rFonts w:ascii="Times New Roman" w:hAnsi="Times New Roman"/>
          <w:b w:val="false"/>
          <w:i w:val="false"/>
          <w:color w:val="000000"/>
          <w:sz w:val="22"/>
        </w:rPr>
        <w:t xml:space="preserve">The authority will disburse funds to an employer only after approval of a completed application and execution of a contract between the employer and the authority. The authority shall have sole discretion in determining whether an application is fully complete.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30.4(4)</w:t>
      </w:r>
      <w:r>
        <w:rPr>
          <w:rFonts w:ascii="Times New Roman" w:hAnsi="Times New Roman"/>
          <w:b w:val="false"/>
          <w:i w:val="false"/>
          <w:color w:val="000000"/>
          <w:sz w:val="22"/>
        </w:rPr>
        <w:t> </w:t>
      </w:r>
      <w:r>
        <w:rPr>
          <w:rFonts w:ascii="Times New Roman" w:hAnsi="Times New Roman"/>
          <w:b w:val="false"/>
          <w:i w:val="false"/>
          <w:color w:val="000000"/>
          <w:sz w:val="22"/>
        </w:rPr>
        <w:t xml:space="preserve">An Iowa employer may qualify for financial assistance under the program on a matching basis for a portion of the wages paid to an intern during the designated internship period. If providing financial assistance, the authority shall provide the assistance on a reimbursement basis such that for every two dollars of wages earned by the student, one dollar paid by the employer is matched by one dollar from the authority. Funds will be disbursed on a reimbursement basis.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2099C</w:t>
      </w:r>
      <w:r>
        <w:rPr>
          <w:rFonts w:ascii="Times New Roman" w:hAnsi="Times New Roman"/>
          <w:b w:val="false"/>
          <w:i w:val="false"/>
          <w:color w:val="000000"/>
          <w:sz w:val="16"/>
        </w:rPr>
        <w:t>, IAB 8/19/15, effective 7/20/15</w:t>
      </w:r>
      <w:r>
        <w:rPr>
          <w:rFonts w:ascii="Times New Roman" w:hAnsi="Times New Roman"/>
          <w:b w:val="false"/>
          <w:i w:val="false"/>
          <w:color w:val="000000"/>
          <w:sz w:val="16"/>
        </w:rPr>
        <w:t xml:space="preserve">; </w:t>
      </w:r>
      <w:r>
        <w:rPr>
          <w:rFonts w:ascii="Times New Roman" w:hAnsi="Times New Roman"/>
          <w:b/>
          <w:i w:val="false"/>
          <w:color w:val="000000"/>
          <w:sz w:val="16"/>
        </w:rPr>
        <w:t>ARC 2316C</w:t>
      </w:r>
      <w:r>
        <w:rPr>
          <w:rFonts w:ascii="Times New Roman" w:hAnsi="Times New Roman"/>
          <w:b w:val="false"/>
          <w:i w:val="false"/>
          <w:color w:val="000000"/>
          <w:sz w:val="16"/>
        </w:rPr>
        <w:t>, IAB 12/23/15, effective 1/27/16</w:t>
      </w:r>
      <w:r>
        <w:rPr>
          <w:rFonts w:ascii="Times New Roman" w:hAnsi="Times New Roman"/>
          <w:b w:val="false"/>
          <w:i w:val="false"/>
          <w:color w:val="000000"/>
          <w:sz w:val="16"/>
        </w:rPr>
        <w:t xml:space="preserve">; </w:t>
      </w:r>
      <w:r>
        <w:rPr>
          <w:rFonts w:ascii="Times New Roman" w:hAnsi="Times New Roman"/>
          <w:b/>
          <w:i w:val="false"/>
          <w:color w:val="000000"/>
          <w:sz w:val="16"/>
        </w:rPr>
        <w:t>ARC 3386C</w:t>
      </w:r>
      <w:r>
        <w:rPr>
          <w:rFonts w:ascii="Times New Roman" w:hAnsi="Times New Roman"/>
          <w:b w:val="false"/>
          <w:i w:val="false"/>
          <w:color w:val="000000"/>
          <w:sz w:val="16"/>
        </w:rPr>
        <w:t>, IAB 10/11/17, effective 11/15/17</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11/1/23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877—30.5</w:t>
      </w:r>
      <w:r>
        <w:rPr>
          <w:rFonts w:ascii="Times New Roman" w:hAnsi="Times New Roman"/>
          <w:b/>
          <w:i w:val="false"/>
          <w:color w:val="000000"/>
          <w:sz w:val="22"/>
        </w:rPr>
        <w:t xml:space="preserve">(15,85GA,ch1132,86GA,SF510) </w:t>
      </w:r>
      <w:r>
        <w:rPr>
          <w:rFonts w:ascii="Times New Roman" w:hAnsi="Times New Roman"/>
          <w:b/>
          <w:i w:val="false"/>
          <w:color w:val="000000"/>
          <w:sz w:val="22"/>
        </w:rPr>
        <w:t xml:space="preserve">Eligible employers. </w:t>
      </w:r>
      <w:r>
        <w:rPr>
          <w:rFonts w:ascii="Times New Roman" w:hAnsi="Times New Roman"/>
          <w:b w:val="false"/>
          <w:i w:val="false"/>
          <w:color w:val="000000"/>
          <w:sz w:val="22"/>
        </w:rPr>
        <w:t>Eligible employers may apply to the authority for assistance under the program. The program is available to employers that meet all of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30.5(1)</w:t>
      </w:r>
      <w:r>
        <w:rPr>
          <w:rFonts w:ascii="Times New Roman" w:hAnsi="Times New Roman"/>
          <w:b w:val="false"/>
          <w:i w:val="false"/>
          <w:color w:val="000000"/>
          <w:sz w:val="22"/>
        </w:rPr>
        <w:t> </w:t>
      </w:r>
      <w:r>
        <w:rPr>
          <w:rFonts w:ascii="Times New Roman" w:hAnsi="Times New Roman"/>
          <w:b w:val="false"/>
          <w:i w:val="false"/>
          <w:color w:val="000000"/>
          <w:sz w:val="22"/>
        </w:rPr>
        <w:t>The employer must be an Iowa-based business and have a significant portion of its employees located within the state of Iowa.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30.5(2)</w:t>
      </w:r>
      <w:r>
        <w:rPr>
          <w:rFonts w:ascii="Times New Roman" w:hAnsi="Times New Roman"/>
          <w:b w:val="false"/>
          <w:i w:val="false"/>
          <w:color w:val="000000"/>
          <w:sz w:val="22"/>
        </w:rPr>
        <w:t> </w:t>
      </w:r>
      <w:r>
        <w:rPr>
          <w:rFonts w:ascii="Times New Roman" w:hAnsi="Times New Roman"/>
          <w:b w:val="false"/>
          <w:i w:val="false"/>
          <w:color w:val="000000"/>
          <w:sz w:val="22"/>
        </w:rPr>
        <w:t>The employer must be employing students who have either declared a major in a STEM field or enrolled in a STEM-related academic or degree program at a community college. The students must be employed as interns at a location in Iowa.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30.5(3)</w:t>
      </w:r>
      <w:r>
        <w:rPr>
          <w:rFonts w:ascii="Times New Roman" w:hAnsi="Times New Roman"/>
          <w:b w:val="false"/>
          <w:i w:val="false"/>
          <w:color w:val="000000"/>
          <w:sz w:val="22"/>
        </w:rPr>
        <w:t> </w:t>
      </w:r>
      <w:r>
        <w:rPr>
          <w:rFonts w:ascii="Times New Roman" w:hAnsi="Times New Roman"/>
          <w:b w:val="false"/>
          <w:i w:val="false"/>
          <w:color w:val="000000"/>
          <w:sz w:val="22"/>
        </w:rPr>
        <w:t>The employer must offer the internship to students of Iowa community colleges, private colleges, or institutions of higher learning under the control of the state board of regents or to students who graduated from high school in Iowa but attend an institution of higher learning outside the state of Iowa.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30.5(4)</w:t>
      </w:r>
      <w:r>
        <w:rPr>
          <w:rFonts w:ascii="Times New Roman" w:hAnsi="Times New Roman"/>
          <w:b w:val="false"/>
          <w:i w:val="false"/>
          <w:color w:val="000000"/>
          <w:sz w:val="22"/>
        </w:rPr>
        <w:t> </w:t>
      </w:r>
      <w:r>
        <w:rPr>
          <w:rFonts w:ascii="Times New Roman" w:hAnsi="Times New Roman"/>
          <w:b w:val="false"/>
          <w:i w:val="false"/>
          <w:color w:val="000000"/>
          <w:sz w:val="22"/>
        </w:rPr>
        <w:t>The employer must offer either summer or semester-based internships. The summer internships must have a minimum duration of 8 weeks (averaging no less than 30 hours per week), and the employer’s semester internships must have a minimum duration of 14 weeks (averaging no less than 10 hours per week).</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2099C</w:t>
      </w:r>
      <w:r>
        <w:rPr>
          <w:rFonts w:ascii="Times New Roman" w:hAnsi="Times New Roman"/>
          <w:b w:val="false"/>
          <w:i w:val="false"/>
          <w:color w:val="000000"/>
          <w:sz w:val="16"/>
        </w:rPr>
        <w:t>, IAB 8/19/15, effective 7/20/15</w:t>
      </w:r>
      <w:r>
        <w:rPr>
          <w:rFonts w:ascii="Times New Roman" w:hAnsi="Times New Roman"/>
          <w:b w:val="false"/>
          <w:i w:val="false"/>
          <w:color w:val="000000"/>
          <w:sz w:val="16"/>
        </w:rPr>
        <w:t xml:space="preserve">; </w:t>
      </w:r>
      <w:r>
        <w:rPr>
          <w:rFonts w:ascii="Times New Roman" w:hAnsi="Times New Roman"/>
          <w:b/>
          <w:i w:val="false"/>
          <w:color w:val="000000"/>
          <w:sz w:val="16"/>
        </w:rPr>
        <w:t>ARC 2316C</w:t>
      </w:r>
      <w:r>
        <w:rPr>
          <w:rFonts w:ascii="Times New Roman" w:hAnsi="Times New Roman"/>
          <w:b w:val="false"/>
          <w:i w:val="false"/>
          <w:color w:val="000000"/>
          <w:sz w:val="16"/>
        </w:rPr>
        <w:t>, IAB 12/23/15, effective 1/27/16</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11/1/23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877—30.6</w:t>
      </w:r>
      <w:r>
        <w:rPr>
          <w:rFonts w:ascii="Times New Roman" w:hAnsi="Times New Roman"/>
          <w:b/>
          <w:i w:val="false"/>
          <w:color w:val="000000"/>
          <w:sz w:val="22"/>
        </w:rPr>
        <w:t xml:space="preserve">(15,85GA,ch1132,86GA,SF510) </w:t>
      </w:r>
      <w:r>
        <w:rPr>
          <w:rFonts w:ascii="Times New Roman" w:hAnsi="Times New Roman"/>
          <w:b/>
          <w:i w:val="false"/>
          <w:color w:val="000000"/>
          <w:sz w:val="22"/>
        </w:rPr>
        <w:t xml:space="preserve">Ineligible employers. </w:t>
      </w:r>
      <w:r>
        <w:rPr>
          <w:rFonts w:ascii="Times New Roman" w:hAnsi="Times New Roman"/>
          <w:b w:val="false"/>
          <w:i w:val="false"/>
          <w:color w:val="000000"/>
          <w:sz w:val="22"/>
        </w:rPr>
        <w:t>The following employers are not eligible for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30.6(1)</w:t>
      </w:r>
      <w:r>
        <w:rPr>
          <w:rFonts w:ascii="Times New Roman" w:hAnsi="Times New Roman"/>
          <w:b w:val="false"/>
          <w:i w:val="false"/>
          <w:color w:val="000000"/>
          <w:sz w:val="22"/>
        </w:rPr>
        <w:t> </w:t>
      </w:r>
      <w:r>
        <w:rPr>
          <w:rFonts w:ascii="Times New Roman" w:hAnsi="Times New Roman"/>
          <w:b w:val="false"/>
          <w:i w:val="false"/>
          <w:color w:val="000000"/>
          <w:sz w:val="22"/>
        </w:rPr>
        <w:t>An employer that is a business engaged in retail sales is ineligible.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30.6(2)</w:t>
      </w:r>
      <w:r>
        <w:rPr>
          <w:rFonts w:ascii="Times New Roman" w:hAnsi="Times New Roman"/>
          <w:b w:val="false"/>
          <w:i w:val="false"/>
          <w:color w:val="000000"/>
          <w:sz w:val="22"/>
        </w:rPr>
        <w:t> </w:t>
      </w:r>
      <w:r>
        <w:rPr>
          <w:rFonts w:ascii="Times New Roman" w:hAnsi="Times New Roman"/>
          <w:b w:val="false"/>
          <w:i w:val="false"/>
          <w:color w:val="000000"/>
          <w:sz w:val="22"/>
        </w:rPr>
        <w:t>An employer which closes or substantially reduces its workforce by more than 20 percent at existing operations in order to relocate substantially the same operations to another area of the state is ineligible for 36 consecutive months at any of its Iowa sites from the date the new establishment opens.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30.6(3)</w:t>
      </w:r>
      <w:r>
        <w:rPr>
          <w:rFonts w:ascii="Times New Roman" w:hAnsi="Times New Roman"/>
          <w:b w:val="false"/>
          <w:i w:val="false"/>
          <w:color w:val="000000"/>
          <w:sz w:val="22"/>
        </w:rPr>
        <w:t> </w:t>
      </w:r>
      <w:r>
        <w:rPr>
          <w:rFonts w:ascii="Times New Roman" w:hAnsi="Times New Roman"/>
          <w:b w:val="false"/>
          <w:i w:val="false"/>
          <w:color w:val="000000"/>
          <w:sz w:val="22"/>
        </w:rPr>
        <w:t xml:space="preserve">An employer that has applied or will apply during the same state fiscal year to the innovative businesses internship under </w:t>
      </w:r>
      <w:hyperlink r:id="rId12">
        <w:r>
          <w:rPr>
            <w:rStyle w:val="Hyperlink"/>
            <w:rFonts w:ascii="Times New Roman" w:hAnsi="Times New Roman"/>
            <w:b w:val="false"/>
            <w:i w:val="false"/>
            <w:color w:val="000000"/>
            <w:sz w:val="22"/>
          </w:rPr>
          <w:t>261—Chapter 104</w:t>
        </w:r>
      </w:hyperlink>
      <w:r>
        <w:rPr>
          <w:rFonts w:ascii="Times New Roman" w:hAnsi="Times New Roman"/>
          <w:b w:val="false"/>
          <w:i w:val="false"/>
          <w:color w:val="000000"/>
          <w:sz w:val="22"/>
        </w:rPr>
        <w:t xml:space="preserve"> is ineligible to receive funding under the STEM internship program.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2099C</w:t>
      </w:r>
      <w:r>
        <w:rPr>
          <w:rFonts w:ascii="Times New Roman" w:hAnsi="Times New Roman"/>
          <w:b w:val="false"/>
          <w:i w:val="false"/>
          <w:color w:val="000000"/>
          <w:sz w:val="16"/>
        </w:rPr>
        <w:t>, IAB 8/19/15, effective 7/20/15</w:t>
      </w:r>
      <w:r>
        <w:rPr>
          <w:rFonts w:ascii="Times New Roman" w:hAnsi="Times New Roman"/>
          <w:b w:val="false"/>
          <w:i w:val="false"/>
          <w:color w:val="000000"/>
          <w:sz w:val="16"/>
        </w:rPr>
        <w:t xml:space="preserve">; </w:t>
      </w:r>
      <w:r>
        <w:rPr>
          <w:rFonts w:ascii="Times New Roman" w:hAnsi="Times New Roman"/>
          <w:b/>
          <w:i w:val="false"/>
          <w:color w:val="000000"/>
          <w:sz w:val="16"/>
        </w:rPr>
        <w:t>ARC 2316C</w:t>
      </w:r>
      <w:r>
        <w:rPr>
          <w:rFonts w:ascii="Times New Roman" w:hAnsi="Times New Roman"/>
          <w:b w:val="false"/>
          <w:i w:val="false"/>
          <w:color w:val="000000"/>
          <w:sz w:val="16"/>
        </w:rPr>
        <w:t>, IAB 12/23/15, effective 1/27/16</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11/1/23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877—30.7</w:t>
      </w:r>
      <w:r>
        <w:rPr>
          <w:rFonts w:ascii="Times New Roman" w:hAnsi="Times New Roman"/>
          <w:b/>
          <w:i w:val="false"/>
          <w:color w:val="000000"/>
          <w:sz w:val="22"/>
        </w:rPr>
        <w:t xml:space="preserve">(15,85GA,ch1132,86GA,SF510) </w:t>
      </w:r>
      <w:r>
        <w:rPr>
          <w:rFonts w:ascii="Times New Roman" w:hAnsi="Times New Roman"/>
          <w:b/>
          <w:i w:val="false"/>
          <w:color w:val="000000"/>
          <w:sz w:val="22"/>
        </w:rPr>
        <w:t xml:space="preserve">Eligible students. </w:t>
      </w:r>
      <w:r>
        <w:rPr>
          <w:rFonts w:ascii="Times New Roman" w:hAnsi="Times New Roman"/>
          <w:b w:val="false"/>
          <w:i w:val="false"/>
          <w:color w:val="000000"/>
          <w:sz w:val="22"/>
        </w:rPr>
        <w:t xml:space="preserve">To be eligible, a person shall meet the requirements of a student as defined in rule </w:t>
      </w:r>
      <w:hyperlink r:id="rId13">
        <w:r>
          <w:rPr>
            <w:rStyle w:val="Hyperlink"/>
            <w:rFonts w:ascii="Times New Roman" w:hAnsi="Times New Roman"/>
            <w:b w:val="false"/>
            <w:i w:val="false"/>
            <w:color w:val="000000"/>
            <w:sz w:val="22"/>
          </w:rPr>
          <w:t>261—110.3</w:t>
        </w:r>
      </w:hyperlink>
      <w:r>
        <w:rPr>
          <w:rFonts w:ascii="Times New Roman" w:hAnsi="Times New Roman"/>
          <w:b w:val="false"/>
          <w:i w:val="false"/>
          <w:color w:val="000000"/>
          <w:sz w:val="22"/>
        </w:rPr>
        <w:t xml:space="preserve">(15,85GA,ch1132,86GA,SF510), must be within one to two years of graduation, shall have declared a major in a STEM field or enrolled in a STEM-related academic or degree program at a community college, and shall be selected for an internship at an Iowa employer during a designated internship period.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2099C</w:t>
      </w:r>
      <w:r>
        <w:rPr>
          <w:rFonts w:ascii="Times New Roman" w:hAnsi="Times New Roman"/>
          <w:b w:val="false"/>
          <w:i w:val="false"/>
          <w:color w:val="000000"/>
          <w:sz w:val="16"/>
        </w:rPr>
        <w:t>, IAB 8/19/15, effective 7/20/15</w:t>
      </w:r>
      <w:r>
        <w:rPr>
          <w:rFonts w:ascii="Times New Roman" w:hAnsi="Times New Roman"/>
          <w:b w:val="false"/>
          <w:i w:val="false"/>
          <w:color w:val="000000"/>
          <w:sz w:val="16"/>
        </w:rPr>
        <w:t xml:space="preserve">; </w:t>
      </w:r>
      <w:r>
        <w:rPr>
          <w:rFonts w:ascii="Times New Roman" w:hAnsi="Times New Roman"/>
          <w:b/>
          <w:i w:val="false"/>
          <w:color w:val="000000"/>
          <w:sz w:val="16"/>
        </w:rPr>
        <w:t>ARC 2316C</w:t>
      </w:r>
      <w:r>
        <w:rPr>
          <w:rFonts w:ascii="Times New Roman" w:hAnsi="Times New Roman"/>
          <w:b w:val="false"/>
          <w:i w:val="false"/>
          <w:color w:val="000000"/>
          <w:sz w:val="16"/>
        </w:rPr>
        <w:t>, IAB 12/23/15, effective 1/27/16</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11/1/23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877—30.8</w:t>
      </w:r>
      <w:r>
        <w:rPr>
          <w:rFonts w:ascii="Times New Roman" w:hAnsi="Times New Roman"/>
          <w:b/>
          <w:i w:val="false"/>
          <w:color w:val="000000"/>
          <w:sz w:val="22"/>
        </w:rPr>
        <w:t xml:space="preserve">(15,85GA,ch1132,86GA,SF510) </w:t>
      </w:r>
      <w:r>
        <w:rPr>
          <w:rFonts w:ascii="Times New Roman" w:hAnsi="Times New Roman"/>
          <w:b/>
          <w:i w:val="false"/>
          <w:color w:val="000000"/>
          <w:sz w:val="22"/>
        </w:rPr>
        <w:t xml:space="preserve">Ineligible students. </w:t>
      </w:r>
      <w:r>
        <w:rPr>
          <w:rFonts w:ascii="Times New Roman" w:hAnsi="Times New Roman"/>
          <w:b w:val="false"/>
          <w:i w:val="false"/>
          <w:color w:val="000000"/>
          <w:sz w:val="22"/>
        </w:rPr>
        <w:t xml:space="preserve">Students who are more than two years from graduation are ineligible. Students who have not declared a major, have not declared a major in a STEM field, or are not enrolled in a STEM-related academic or degree program at a community college are ineligible. Students who are immediate family members of management employees or board members of the applicant employer are ineligible. Students who do not otherwise meet the eligibility requirements described in rule </w:t>
      </w:r>
      <w:hyperlink r:id="rId14">
        <w:r>
          <w:rPr>
            <w:rStyle w:val="Hyperlink"/>
            <w:rFonts w:ascii="Times New Roman" w:hAnsi="Times New Roman"/>
            <w:b w:val="false"/>
            <w:i w:val="false"/>
            <w:color w:val="000000"/>
            <w:sz w:val="22"/>
          </w:rPr>
          <w:t>261—110.7</w:t>
        </w:r>
      </w:hyperlink>
      <w:r>
        <w:rPr>
          <w:rFonts w:ascii="Times New Roman" w:hAnsi="Times New Roman"/>
          <w:b w:val="false"/>
          <w:i w:val="false"/>
          <w:color w:val="000000"/>
          <w:sz w:val="22"/>
        </w:rPr>
        <w:t>(15,85GA,ch1132,86GA,SF510) are ineligible.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2099C</w:t>
      </w:r>
      <w:r>
        <w:rPr>
          <w:rFonts w:ascii="Times New Roman" w:hAnsi="Times New Roman"/>
          <w:b w:val="false"/>
          <w:i w:val="false"/>
          <w:color w:val="000000"/>
          <w:sz w:val="16"/>
        </w:rPr>
        <w:t>, IAB 8/19/15, effective 7/20/15</w:t>
      </w:r>
      <w:r>
        <w:rPr>
          <w:rFonts w:ascii="Times New Roman" w:hAnsi="Times New Roman"/>
          <w:b w:val="false"/>
          <w:i w:val="false"/>
          <w:color w:val="000000"/>
          <w:sz w:val="16"/>
        </w:rPr>
        <w:t xml:space="preserve">; </w:t>
      </w:r>
      <w:r>
        <w:rPr>
          <w:rFonts w:ascii="Times New Roman" w:hAnsi="Times New Roman"/>
          <w:b/>
          <w:i w:val="false"/>
          <w:color w:val="000000"/>
          <w:sz w:val="16"/>
        </w:rPr>
        <w:t>ARC 2316C</w:t>
      </w:r>
      <w:r>
        <w:rPr>
          <w:rFonts w:ascii="Times New Roman" w:hAnsi="Times New Roman"/>
          <w:b w:val="false"/>
          <w:i w:val="false"/>
          <w:color w:val="000000"/>
          <w:sz w:val="16"/>
        </w:rPr>
        <w:t>, IAB 12/23/15, effective 1/27/16</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11/1/23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877—30.9</w:t>
      </w:r>
      <w:r>
        <w:rPr>
          <w:rFonts w:ascii="Times New Roman" w:hAnsi="Times New Roman"/>
          <w:b/>
          <w:i w:val="false"/>
          <w:color w:val="000000"/>
          <w:sz w:val="22"/>
        </w:rPr>
        <w:t xml:space="preserve">(15,85GA,ch1132,86GA,SF510) </w:t>
      </w:r>
      <w:r>
        <w:rPr>
          <w:rFonts w:ascii="Times New Roman" w:hAnsi="Times New Roman"/>
          <w:b/>
          <w:i w:val="false"/>
          <w:color w:val="000000"/>
          <w:sz w:val="22"/>
        </w:rPr>
        <w:t xml:space="preserve">Application submittal and review process.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30.9(1)</w:t>
      </w:r>
      <w:r>
        <w:rPr>
          <w:rFonts w:ascii="Times New Roman" w:hAnsi="Times New Roman"/>
          <w:b w:val="false"/>
          <w:i w:val="false"/>
          <w:color w:val="000000"/>
          <w:sz w:val="22"/>
        </w:rPr>
        <w:t> </w:t>
      </w:r>
      <w:r>
        <w:rPr>
          <w:rFonts w:ascii="Times New Roman" w:hAnsi="Times New Roman"/>
          <w:b w:val="false"/>
          <w:i w:val="false"/>
          <w:color w:val="000000"/>
          <w:sz w:val="22"/>
        </w:rPr>
        <w:t xml:space="preserve">The authority shall develop a standardized application and make the application available to eligible employers. To apply for assistance under the program, an employer shall submit an application to the authority. Required forms and instructions are available by contacting the authority or from the authority’s Internet site at </w:t>
      </w:r>
      <w:hyperlink r:id="rId15">
        <w:r>
          <w:rPr>
            <w:rStyle w:val="Hyperlink"/>
            <w:rFonts w:ascii="Times New Roman" w:hAnsi="Times New Roman"/>
            <w:b w:val="false"/>
            <w:i w:val="false"/>
            <w:color w:val="000000"/>
            <w:sz w:val="22"/>
            <w:u w:val="single"/>
          </w:rPr>
          <w:t>www.iowaworkforcedevelopment.gov</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30.9(2)</w:t>
      </w:r>
      <w:r>
        <w:rPr>
          <w:rFonts w:ascii="Times New Roman" w:hAnsi="Times New Roman"/>
          <w:b w:val="false"/>
          <w:i w:val="false"/>
          <w:color w:val="000000"/>
          <w:sz w:val="22"/>
        </w:rPr>
        <w:t> </w:t>
      </w:r>
      <w:r>
        <w:rPr>
          <w:rFonts w:ascii="Times New Roman" w:hAnsi="Times New Roman"/>
          <w:b w:val="false"/>
          <w:i w:val="false"/>
          <w:color w:val="000000"/>
          <w:sz w:val="22"/>
        </w:rPr>
        <w:t>Applications will be reviewed and scored by the staff of the authority. The director of the authority will make final funding decisions after considering the recommendations of staff. The director has final decision-making authority on requests for financial assistance for this program. The director may approve, defer or deny an application.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2099C</w:t>
      </w:r>
      <w:r>
        <w:rPr>
          <w:rFonts w:ascii="Times New Roman" w:hAnsi="Times New Roman"/>
          <w:b w:val="false"/>
          <w:i w:val="false"/>
          <w:color w:val="000000"/>
          <w:sz w:val="16"/>
        </w:rPr>
        <w:t>, IAB 8/19/15, effective 7/20/15</w:t>
      </w:r>
      <w:r>
        <w:rPr>
          <w:rFonts w:ascii="Times New Roman" w:hAnsi="Times New Roman"/>
          <w:b w:val="false"/>
          <w:i w:val="false"/>
          <w:color w:val="000000"/>
          <w:sz w:val="16"/>
        </w:rPr>
        <w:t xml:space="preserve">; </w:t>
      </w:r>
      <w:r>
        <w:rPr>
          <w:rFonts w:ascii="Times New Roman" w:hAnsi="Times New Roman"/>
          <w:b/>
          <w:i w:val="false"/>
          <w:color w:val="000000"/>
          <w:sz w:val="16"/>
        </w:rPr>
        <w:t>ARC 2316C</w:t>
      </w:r>
      <w:r>
        <w:rPr>
          <w:rFonts w:ascii="Times New Roman" w:hAnsi="Times New Roman"/>
          <w:b w:val="false"/>
          <w:i w:val="false"/>
          <w:color w:val="000000"/>
          <w:sz w:val="16"/>
        </w:rPr>
        <w:t>, IAB 12/23/15, effective 1/27/16</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11/1/23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877—30.10</w:t>
      </w:r>
      <w:r>
        <w:rPr>
          <w:rFonts w:ascii="Times New Roman" w:hAnsi="Times New Roman"/>
          <w:b/>
          <w:i w:val="false"/>
          <w:color w:val="000000"/>
          <w:sz w:val="22"/>
        </w:rPr>
        <w:t xml:space="preserve">(15,85GA,ch1132,86GA,SF510) </w:t>
      </w:r>
      <w:r>
        <w:rPr>
          <w:rFonts w:ascii="Times New Roman" w:hAnsi="Times New Roman"/>
          <w:b/>
          <w:i w:val="false"/>
          <w:color w:val="000000"/>
          <w:sz w:val="22"/>
        </w:rPr>
        <w:t xml:space="preserve">Application content and other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30.10(1)</w:t>
      </w:r>
      <w:r>
        <w:rPr>
          <w:rFonts w:ascii="Times New Roman" w:hAnsi="Times New Roman"/>
          <w:b w:val="false"/>
          <w:i w:val="false"/>
          <w:color w:val="000000"/>
          <w:sz w:val="22"/>
        </w:rPr>
        <w:t> </w:t>
      </w:r>
      <w:r>
        <w:rPr>
          <w:rFonts w:ascii="Times New Roman" w:hAnsi="Times New Roman"/>
          <w:b w:val="false"/>
          <w:i w:val="false"/>
          <w:color w:val="000000"/>
          <w:sz w:val="22"/>
        </w:rPr>
        <w:t>An employer seeking assistance under the program must complete an application for internship assistance and submit it to the authority.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30.10(2)</w:t>
      </w:r>
      <w:r>
        <w:rPr>
          <w:rFonts w:ascii="Times New Roman" w:hAnsi="Times New Roman"/>
          <w:b w:val="false"/>
          <w:i w:val="false"/>
          <w:color w:val="000000"/>
          <w:sz w:val="22"/>
        </w:rPr>
        <w:t> </w:t>
      </w:r>
      <w:r>
        <w:rPr>
          <w:rFonts w:ascii="Times New Roman" w:hAnsi="Times New Roman"/>
          <w:b w:val="false"/>
          <w:i w:val="false"/>
          <w:color w:val="000000"/>
          <w:sz w:val="22"/>
        </w:rPr>
        <w:t>If an award is made, the employer shall secure an intern within the time period stated in the contract between the authority and the employer.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30.10(3)</w:t>
      </w:r>
      <w:r>
        <w:rPr>
          <w:rFonts w:ascii="Times New Roman" w:hAnsi="Times New Roman"/>
          <w:b w:val="false"/>
          <w:i w:val="false"/>
          <w:color w:val="000000"/>
          <w:sz w:val="22"/>
        </w:rPr>
        <w:t> </w:t>
      </w:r>
      <w:r>
        <w:rPr>
          <w:rFonts w:ascii="Times New Roman" w:hAnsi="Times New Roman"/>
          <w:b w:val="false"/>
          <w:i w:val="false"/>
          <w:color w:val="000000"/>
          <w:sz w:val="22"/>
        </w:rPr>
        <w:t>The application shall include, but not be limited to,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dates and location of the internship.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statement of duties the student will be performing at the internship site. The student shall be involved in a substantive experience in an area closely related to the student’s STEM field. The application shall also include information regarding the student’s work space (i.e., access to telephone, computer, and other necessary items).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name of the employer’s representative who will train and supervise the student.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statement of the anticipated workforce needs at the internship site. The statement shall include an explanation of the current workforce shortage and identify the student’s potential for prospective employment with the employer following graduation.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30.10(4)</w:t>
      </w:r>
      <w:r>
        <w:rPr>
          <w:rFonts w:ascii="Times New Roman" w:hAnsi="Times New Roman"/>
          <w:b w:val="false"/>
          <w:i w:val="false"/>
          <w:color w:val="000000"/>
          <w:sz w:val="22"/>
        </w:rPr>
        <w:t> </w:t>
      </w:r>
      <w:r>
        <w:rPr>
          <w:rFonts w:ascii="Times New Roman" w:hAnsi="Times New Roman"/>
          <w:b w:val="false"/>
          <w:i w:val="false"/>
          <w:color w:val="000000"/>
          <w:sz w:val="22"/>
        </w:rPr>
        <w:t xml:space="preserve"> In accepting applications from employers, the authority may require additional information reasonably related to the program.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2099C</w:t>
      </w:r>
      <w:r>
        <w:rPr>
          <w:rFonts w:ascii="Times New Roman" w:hAnsi="Times New Roman"/>
          <w:b w:val="false"/>
          <w:i w:val="false"/>
          <w:color w:val="000000"/>
          <w:sz w:val="16"/>
        </w:rPr>
        <w:t>, IAB 8/19/15, effective 7/20/15</w:t>
      </w:r>
      <w:r>
        <w:rPr>
          <w:rFonts w:ascii="Times New Roman" w:hAnsi="Times New Roman"/>
          <w:b w:val="false"/>
          <w:i w:val="false"/>
          <w:color w:val="000000"/>
          <w:sz w:val="16"/>
        </w:rPr>
        <w:t xml:space="preserve">; </w:t>
      </w:r>
      <w:r>
        <w:rPr>
          <w:rFonts w:ascii="Times New Roman" w:hAnsi="Times New Roman"/>
          <w:b/>
          <w:i w:val="false"/>
          <w:color w:val="000000"/>
          <w:sz w:val="16"/>
        </w:rPr>
        <w:t>ARC 2316C</w:t>
      </w:r>
      <w:r>
        <w:rPr>
          <w:rFonts w:ascii="Times New Roman" w:hAnsi="Times New Roman"/>
          <w:b w:val="false"/>
          <w:i w:val="false"/>
          <w:color w:val="000000"/>
          <w:sz w:val="16"/>
        </w:rPr>
        <w:t>, IAB 12/23/15, effective 1/27/16</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11/1/23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877—30.11</w:t>
      </w:r>
      <w:r>
        <w:rPr>
          <w:rFonts w:ascii="Times New Roman" w:hAnsi="Times New Roman"/>
          <w:b/>
          <w:i w:val="false"/>
          <w:color w:val="000000"/>
          <w:sz w:val="22"/>
        </w:rPr>
        <w:t xml:space="preserve">(15,85GA,ch1132,86GA,SF510) </w:t>
      </w:r>
      <w:r>
        <w:rPr>
          <w:rFonts w:ascii="Times New Roman" w:hAnsi="Times New Roman"/>
          <w:b/>
          <w:i w:val="false"/>
          <w:color w:val="000000"/>
          <w:sz w:val="22"/>
        </w:rPr>
        <w:t xml:space="preserve">Award process. </w:t>
      </w:r>
      <w:r>
        <w:rPr>
          <w:rFonts w:ascii="Times New Roman" w:hAnsi="Times New Roman"/>
          <w:b w:val="false"/>
          <w:i w:val="false"/>
          <w:color w:val="000000"/>
          <w:sz w:val="22"/>
        </w:rPr>
        <w:t xml:space="preserve">Applications will be reviewed in the order received by the authority. The authority will attempt to award as many eligible internships as funding allows. However, the authority may deny applications for incompleteness or because of insufficient funds. The authority will score applications according to the criteria specified in rule </w:t>
      </w:r>
      <w:hyperlink r:id="rId16">
        <w:r>
          <w:rPr>
            <w:rStyle w:val="Hyperlink"/>
            <w:rFonts w:ascii="Times New Roman" w:hAnsi="Times New Roman"/>
            <w:b w:val="false"/>
            <w:i w:val="false"/>
            <w:color w:val="000000"/>
            <w:sz w:val="22"/>
          </w:rPr>
          <w:t>261—110.12</w:t>
        </w:r>
      </w:hyperlink>
      <w:r>
        <w:rPr>
          <w:rFonts w:ascii="Times New Roman" w:hAnsi="Times New Roman"/>
          <w:b w:val="false"/>
          <w:i w:val="false"/>
          <w:color w:val="000000"/>
          <w:sz w:val="22"/>
        </w:rPr>
        <w:t>(15,85GA,ch1132,86GA,SF510). To be considered for funding, an application must receive a minimum score of 65 out of a possible 100 points and meet all other eligibility criteria specified in these rules.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2099C</w:t>
      </w:r>
      <w:r>
        <w:rPr>
          <w:rFonts w:ascii="Times New Roman" w:hAnsi="Times New Roman"/>
          <w:b w:val="false"/>
          <w:i w:val="false"/>
          <w:color w:val="000000"/>
          <w:sz w:val="16"/>
        </w:rPr>
        <w:t>, IAB 8/19/15, effective 7/20/15</w:t>
      </w:r>
      <w:r>
        <w:rPr>
          <w:rFonts w:ascii="Times New Roman" w:hAnsi="Times New Roman"/>
          <w:b w:val="false"/>
          <w:i w:val="false"/>
          <w:color w:val="000000"/>
          <w:sz w:val="16"/>
        </w:rPr>
        <w:t xml:space="preserve">; </w:t>
      </w:r>
      <w:r>
        <w:rPr>
          <w:rFonts w:ascii="Times New Roman" w:hAnsi="Times New Roman"/>
          <w:b/>
          <w:i w:val="false"/>
          <w:color w:val="000000"/>
          <w:sz w:val="16"/>
        </w:rPr>
        <w:t>ARC 2316C</w:t>
      </w:r>
      <w:r>
        <w:rPr>
          <w:rFonts w:ascii="Times New Roman" w:hAnsi="Times New Roman"/>
          <w:b w:val="false"/>
          <w:i w:val="false"/>
          <w:color w:val="000000"/>
          <w:sz w:val="16"/>
        </w:rPr>
        <w:t>, IAB 12/23/15, effective 1/27/16</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11/1/23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877—30.12</w:t>
      </w:r>
      <w:r>
        <w:rPr>
          <w:rFonts w:ascii="Times New Roman" w:hAnsi="Times New Roman"/>
          <w:b/>
          <w:i w:val="false"/>
          <w:color w:val="000000"/>
          <w:sz w:val="22"/>
        </w:rPr>
        <w:t xml:space="preserve">(15,85GA,ch1132,86GA,SF510) </w:t>
      </w:r>
      <w:r>
        <w:rPr>
          <w:rFonts w:ascii="Times New Roman" w:hAnsi="Times New Roman"/>
          <w:b/>
          <w:i w:val="false"/>
          <w:color w:val="000000"/>
          <w:sz w:val="22"/>
        </w:rPr>
        <w:t xml:space="preserve">Application scoring criteria. </w:t>
      </w:r>
      <w:r>
        <w:rPr>
          <w:rFonts w:ascii="Times New Roman" w:hAnsi="Times New Roman"/>
          <w:b w:val="false"/>
          <w:i w:val="false"/>
          <w:color w:val="000000"/>
          <w:sz w:val="22"/>
        </w:rPr>
        <w:t>When applications for financial assistance under the program are reviewed, the following criteria will be considered and scored as described below: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30.12(1)</w:t>
      </w:r>
      <w:r>
        <w:rPr>
          <w:rFonts w:ascii="Times New Roman" w:hAnsi="Times New Roman"/>
          <w:b w:val="false"/>
          <w:i w:val="false"/>
          <w:color w:val="000000"/>
          <w:sz w:val="22"/>
        </w:rPr>
        <w:t> </w:t>
      </w:r>
      <w:r>
        <w:rPr>
          <w:rFonts w:ascii="Times New Roman" w:hAnsi="Times New Roman"/>
          <w:b w:val="false"/>
          <w:i w:val="false"/>
          <w:color w:val="000000"/>
          <w:sz w:val="22"/>
        </w:rPr>
        <w:t>The extent to which the student is involved in a substantive experience closely related to the student’s STEM field of study. 30 points.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30.12(2)</w:t>
      </w:r>
      <w:r>
        <w:rPr>
          <w:rFonts w:ascii="Times New Roman" w:hAnsi="Times New Roman"/>
          <w:b w:val="false"/>
          <w:i w:val="false"/>
          <w:color w:val="000000"/>
          <w:sz w:val="22"/>
        </w:rPr>
        <w:t> </w:t>
      </w:r>
      <w:r>
        <w:rPr>
          <w:rFonts w:ascii="Times New Roman" w:hAnsi="Times New Roman"/>
          <w:b w:val="false"/>
          <w:i w:val="false"/>
          <w:color w:val="000000"/>
          <w:sz w:val="22"/>
        </w:rPr>
        <w:t>The quality and sufficiency of the explanation of the employer’s anticipated workforce needs and of the student’s potential for prospective employment with the employer or another Iowa employer following graduation. 30 points.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30.12(3)</w:t>
      </w:r>
      <w:r>
        <w:rPr>
          <w:rFonts w:ascii="Times New Roman" w:hAnsi="Times New Roman"/>
          <w:b w:val="false"/>
          <w:i w:val="false"/>
          <w:color w:val="000000"/>
          <w:sz w:val="22"/>
        </w:rPr>
        <w:t> </w:t>
      </w:r>
      <w:r>
        <w:rPr>
          <w:rFonts w:ascii="Times New Roman" w:hAnsi="Times New Roman"/>
          <w:b w:val="false"/>
          <w:i w:val="false"/>
          <w:color w:val="000000"/>
          <w:sz w:val="22"/>
        </w:rPr>
        <w:t>The extent to which the internship duties require independent judgment, creativity, and intelligence to complete and contribute to the employer’s goals or processes. 10 points.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30.12(4)</w:t>
      </w:r>
      <w:r>
        <w:rPr>
          <w:rFonts w:ascii="Times New Roman" w:hAnsi="Times New Roman"/>
          <w:b w:val="false"/>
          <w:i w:val="false"/>
          <w:color w:val="000000"/>
          <w:sz w:val="22"/>
        </w:rPr>
        <w:t> </w:t>
      </w:r>
      <w:r>
        <w:rPr>
          <w:rFonts w:ascii="Times New Roman" w:hAnsi="Times New Roman"/>
          <w:b w:val="false"/>
          <w:i w:val="false"/>
          <w:color w:val="000000"/>
          <w:sz w:val="22"/>
        </w:rPr>
        <w:t>The extent to which the internship will have a positive impact on the student’s skills, knowledge and abilities. 10 points.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30.12(5)</w:t>
      </w:r>
      <w:r>
        <w:rPr>
          <w:rFonts w:ascii="Times New Roman" w:hAnsi="Times New Roman"/>
          <w:b w:val="false"/>
          <w:i w:val="false"/>
          <w:color w:val="000000"/>
          <w:sz w:val="22"/>
        </w:rPr>
        <w:t> </w:t>
      </w:r>
      <w:r>
        <w:rPr>
          <w:rFonts w:ascii="Times New Roman" w:hAnsi="Times New Roman"/>
          <w:b w:val="false"/>
          <w:i w:val="false"/>
          <w:color w:val="000000"/>
          <w:sz w:val="22"/>
        </w:rPr>
        <w:t>The extent to which the internship pays more than twice the minimum wage. 10 points.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30.12(6)</w:t>
      </w:r>
      <w:r>
        <w:rPr>
          <w:rFonts w:ascii="Times New Roman" w:hAnsi="Times New Roman"/>
          <w:b w:val="false"/>
          <w:i w:val="false"/>
          <w:color w:val="000000"/>
          <w:sz w:val="22"/>
        </w:rPr>
        <w:t> </w:t>
      </w:r>
      <w:r>
        <w:rPr>
          <w:rFonts w:ascii="Times New Roman" w:hAnsi="Times New Roman"/>
          <w:b w:val="false"/>
          <w:i w:val="false"/>
          <w:color w:val="000000"/>
          <w:sz w:val="22"/>
        </w:rPr>
        <w:t>Whether applications will be accepted by the employer from more than one private college, university or community college. 5 points.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30.12(7)</w:t>
      </w:r>
      <w:r>
        <w:rPr>
          <w:rFonts w:ascii="Times New Roman" w:hAnsi="Times New Roman"/>
          <w:b w:val="false"/>
          <w:i w:val="false"/>
          <w:color w:val="000000"/>
          <w:sz w:val="22"/>
        </w:rPr>
        <w:t> </w:t>
      </w:r>
      <w:r>
        <w:rPr>
          <w:rFonts w:ascii="Times New Roman" w:hAnsi="Times New Roman"/>
          <w:b w:val="false"/>
          <w:i w:val="false"/>
          <w:color w:val="000000"/>
          <w:sz w:val="22"/>
        </w:rPr>
        <w:t>Whether the application establishes that all relevant internship considerations, including necessary funding, have been addressed by the employer in advance. 5 points.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2099C</w:t>
      </w:r>
      <w:r>
        <w:rPr>
          <w:rFonts w:ascii="Times New Roman" w:hAnsi="Times New Roman"/>
          <w:b w:val="false"/>
          <w:i w:val="false"/>
          <w:color w:val="000000"/>
          <w:sz w:val="16"/>
        </w:rPr>
        <w:t>, IAB 8/19/15, effective 7/20/15</w:t>
      </w:r>
      <w:r>
        <w:rPr>
          <w:rFonts w:ascii="Times New Roman" w:hAnsi="Times New Roman"/>
          <w:b w:val="false"/>
          <w:i w:val="false"/>
          <w:color w:val="000000"/>
          <w:sz w:val="16"/>
        </w:rPr>
        <w:t xml:space="preserve">; </w:t>
      </w:r>
      <w:r>
        <w:rPr>
          <w:rFonts w:ascii="Times New Roman" w:hAnsi="Times New Roman"/>
          <w:b/>
          <w:i w:val="false"/>
          <w:color w:val="000000"/>
          <w:sz w:val="16"/>
        </w:rPr>
        <w:t>ARC 2316C</w:t>
      </w:r>
      <w:r>
        <w:rPr>
          <w:rFonts w:ascii="Times New Roman" w:hAnsi="Times New Roman"/>
          <w:b w:val="false"/>
          <w:i w:val="false"/>
          <w:color w:val="000000"/>
          <w:sz w:val="16"/>
        </w:rPr>
        <w:t>, IAB 12/23/15, effective 1/27/16</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11/1/23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877—30.13</w:t>
      </w:r>
      <w:r>
        <w:rPr>
          <w:rFonts w:ascii="Times New Roman" w:hAnsi="Times New Roman"/>
          <w:b/>
          <w:i w:val="false"/>
          <w:color w:val="000000"/>
          <w:sz w:val="22"/>
        </w:rPr>
        <w:t xml:space="preserve">(15,85GA,ch1132,86GA,SF510) </w:t>
      </w:r>
      <w:r>
        <w:rPr>
          <w:rFonts w:ascii="Times New Roman" w:hAnsi="Times New Roman"/>
          <w:b/>
          <w:i w:val="false"/>
          <w:color w:val="000000"/>
          <w:sz w:val="22"/>
        </w:rPr>
        <w:t xml:space="preserve">Contract and reporting.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30.13(1)</w:t>
      </w:r>
      <w:r>
        <w:rPr>
          <w:rFonts w:ascii="Times New Roman" w:hAnsi="Times New Roman"/>
          <w:b w:val="false"/>
          <w:i w:val="false"/>
          <w:color w:val="000000"/>
          <w:sz w:val="22"/>
        </w:rPr>
        <w:t> </w:t>
      </w:r>
      <w:r>
        <w:rPr>
          <w:rFonts w:ascii="Times New Roman" w:hAnsi="Times New Roman"/>
          <w:b w:val="false"/>
          <w:i/>
          <w:color w:val="000000"/>
          <w:sz w:val="22"/>
        </w:rPr>
        <w:t xml:space="preserve">Notice of award. </w:t>
      </w:r>
      <w:r>
        <w:rPr>
          <w:rFonts w:ascii="Times New Roman" w:hAnsi="Times New Roman"/>
          <w:b w:val="false"/>
          <w:i w:val="false"/>
          <w:color w:val="000000"/>
          <w:sz w:val="22"/>
        </w:rPr>
        <w:t>Successful applicants will be notified in writing of an award of assistance, including any conditions and terms of the approval.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30.13(2)</w:t>
      </w:r>
      <w:r>
        <w:rPr>
          <w:rFonts w:ascii="Times New Roman" w:hAnsi="Times New Roman"/>
          <w:b w:val="false"/>
          <w:i w:val="false"/>
          <w:color w:val="000000"/>
          <w:sz w:val="22"/>
        </w:rPr>
        <w:t> </w:t>
      </w:r>
      <w:r>
        <w:rPr>
          <w:rFonts w:ascii="Times New Roman" w:hAnsi="Times New Roman"/>
          <w:b w:val="false"/>
          <w:i/>
          <w:color w:val="000000"/>
          <w:sz w:val="22"/>
        </w:rPr>
        <w:t xml:space="preserve">Contract required. </w:t>
      </w:r>
      <w:r>
        <w:rPr>
          <w:rFonts w:ascii="Times New Roman" w:hAnsi="Times New Roman"/>
          <w:b w:val="false"/>
          <w:i w:val="false"/>
          <w:color w:val="000000"/>
          <w:sz w:val="22"/>
        </w:rPr>
        <w:t>An employer receiving an award under the program shall execute a standard contract prepared by the authority. The contract may include, but is not limited to, a description of the internship to be completed, the conditions for disbursement, any required reports, the applicable events of default, the repayment requirements imposed in the event of default, and any other specific provisions that may be established from time to time on a case-by-case basis.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30.13(3)</w:t>
      </w:r>
      <w:r>
        <w:rPr>
          <w:rFonts w:ascii="Times New Roman" w:hAnsi="Times New Roman"/>
          <w:b w:val="false"/>
          <w:i w:val="false"/>
          <w:color w:val="000000"/>
          <w:sz w:val="22"/>
        </w:rPr>
        <w:t> </w:t>
      </w:r>
      <w:r>
        <w:rPr>
          <w:rFonts w:ascii="Times New Roman" w:hAnsi="Times New Roman"/>
          <w:b w:val="false"/>
          <w:i/>
          <w:color w:val="000000"/>
          <w:sz w:val="22"/>
        </w:rPr>
        <w:t xml:space="preserve">Reporting. </w:t>
      </w:r>
      <w:r>
        <w:rPr>
          <w:rFonts w:ascii="Times New Roman" w:hAnsi="Times New Roman"/>
          <w:b w:val="false"/>
          <w:i w:val="false"/>
          <w:color w:val="000000"/>
          <w:sz w:val="22"/>
        </w:rPr>
        <w:t>An employer receiving assistance under the program shall submit any information reasonably requested by the authority in sufficient detail to permit the authority to prepare any reports required by the authority, the board, the general assembly or the governor’s office.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30.13(4)</w:t>
      </w:r>
      <w:r>
        <w:rPr>
          <w:rFonts w:ascii="Times New Roman" w:hAnsi="Times New Roman"/>
          <w:b w:val="false"/>
          <w:i w:val="false"/>
          <w:color w:val="000000"/>
          <w:sz w:val="22"/>
        </w:rPr>
        <w:t> </w:t>
      </w:r>
      <w:r>
        <w:rPr>
          <w:rFonts w:ascii="Times New Roman" w:hAnsi="Times New Roman"/>
          <w:b w:val="false"/>
          <w:i/>
          <w:color w:val="000000"/>
          <w:sz w:val="22"/>
        </w:rPr>
        <w:t xml:space="preserve">Contract amendments and terminations. </w:t>
      </w:r>
      <w:r>
        <w:rPr>
          <w:rFonts w:ascii="Times New Roman" w:hAnsi="Times New Roman"/>
          <w:b w:val="false"/>
          <w:i w:val="false"/>
          <w:color w:val="000000"/>
          <w:sz w:val="22"/>
        </w:rPr>
        <w:t>Contract amendments or termination may be approved by the director without board approval.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2099C</w:t>
      </w:r>
      <w:r>
        <w:rPr>
          <w:rFonts w:ascii="Times New Roman" w:hAnsi="Times New Roman"/>
          <w:b w:val="false"/>
          <w:i w:val="false"/>
          <w:color w:val="000000"/>
          <w:sz w:val="16"/>
        </w:rPr>
        <w:t>, IAB 8/19/15, effective 7/20/15</w:t>
      </w:r>
      <w:r>
        <w:rPr>
          <w:rFonts w:ascii="Times New Roman" w:hAnsi="Times New Roman"/>
          <w:b w:val="false"/>
          <w:i w:val="false"/>
          <w:color w:val="000000"/>
          <w:sz w:val="16"/>
        </w:rPr>
        <w:t xml:space="preserve">; </w:t>
      </w:r>
      <w:r>
        <w:rPr>
          <w:rFonts w:ascii="Times New Roman" w:hAnsi="Times New Roman"/>
          <w:b/>
          <w:i w:val="false"/>
          <w:color w:val="000000"/>
          <w:sz w:val="16"/>
        </w:rPr>
        <w:t>ARC 2316C</w:t>
      </w:r>
      <w:r>
        <w:rPr>
          <w:rFonts w:ascii="Times New Roman" w:hAnsi="Times New Roman"/>
          <w:b w:val="false"/>
          <w:i w:val="false"/>
          <w:color w:val="000000"/>
          <w:sz w:val="16"/>
        </w:rPr>
        <w:t>, IAB 12/23/15, effective 1/27/16</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11/1/23</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w:t>
      </w:r>
      <w:r>
        <w:rPr>
          <w:rFonts w:ascii="Times New Roman" w:hAnsi="Times New Roman"/>
          <w:b w:val="false"/>
          <w:i w:val="false"/>
          <w:color w:val="000000"/>
          <w:sz w:val="22"/>
        </w:rPr>
        <w:t>2014 Iowa Acts, chapter 1132</w:t>
      </w:r>
      <w:r>
        <w:rPr>
          <w:rFonts w:ascii="Times New Roman" w:hAnsi="Times New Roman"/>
          <w:b w:val="false"/>
          <w:i w:val="false"/>
          <w:color w:val="000000"/>
          <w:sz w:val="22"/>
        </w:rPr>
        <w:t xml:space="preserve">, section 12, and Iowa Code section </w:t>
      </w:r>
      <w:hyperlink r:id="rId17">
        <w:r>
          <w:rPr>
            <w:rStyle w:val="Hyperlink"/>
            <w:rFonts w:ascii="Times New Roman" w:hAnsi="Times New Roman"/>
            <w:b w:val="false"/>
            <w:i w:val="false"/>
            <w:color w:val="000000"/>
            <w:sz w:val="22"/>
          </w:rPr>
          <w:t>15.411(3)</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2015 Iowa Acts, Senate File 510</w:t>
      </w:r>
      <w:r>
        <w:rPr>
          <w:rFonts w:ascii="Times New Roman" w:hAnsi="Times New Roman"/>
          <w:b w:val="false"/>
          <w:i w:val="false"/>
          <w:color w:val="000000"/>
          <w:sz w:val="22"/>
        </w:rPr>
        <w:t>, division XI.</w:t>
      </w:r>
    </w:p>
    <w:p>
      <w:pPr>
        <w:spacing w:before="0" w:after="0"/>
        <w:ind w:left="120"/>
        <w:jc w:val="center"/>
      </w:pPr>
      <w:r>
        <w:rPr>
          <w:rFonts w:ascii="Times New Roman" w:hAnsi="Times New Roman"/>
          <w:b w:val="false"/>
          <w:i w:val="false"/>
          <w:color w:val="000000"/>
          <w:sz w:val="21"/>
        </w:rPr>
        <w:t>[Filed Emergency ARC 2099C, IAB 8/19/15, effective 7/20/15]</w:t>
      </w:r>
    </w:p>
    <w:p>
      <w:pPr>
        <w:spacing w:before="0" w:after="0"/>
        <w:ind w:left="120"/>
        <w:jc w:val="center"/>
      </w:pPr>
      <w:r>
        <w:rPr>
          <w:rFonts w:ascii="Times New Roman" w:hAnsi="Times New Roman"/>
          <w:b w:val="false"/>
          <w:i w:val="false"/>
          <w:color w:val="000000"/>
          <w:sz w:val="21"/>
        </w:rPr>
        <w:t>[Filed ARC 2316C</w:t>
      </w:r>
      <w:r>
        <w:rPr>
          <w:rFonts w:ascii="Times New Roman" w:hAnsi="Times New Roman"/>
          <w:b w:val="false"/>
          <w:i w:val="false"/>
          <w:color w:val="000000"/>
          <w:sz w:val="21"/>
        </w:rPr>
        <w:t xml:space="preserve"> (Notice ARC 2098C, IAB 8/19/15)</w:t>
      </w:r>
      <w:r>
        <w:rPr>
          <w:rFonts w:ascii="Times New Roman" w:hAnsi="Times New Roman"/>
          <w:b w:val="false"/>
          <w:i w:val="false"/>
          <w:color w:val="000000"/>
          <w:sz w:val="21"/>
        </w:rPr>
        <w:t>, IAB 12/23/15, effective 1/27/16]</w:t>
      </w:r>
    </w:p>
    <w:p>
      <w:pPr>
        <w:spacing w:before="0" w:after="0"/>
        <w:ind w:left="120"/>
        <w:jc w:val="center"/>
      </w:pPr>
      <w:r>
        <w:rPr>
          <w:rFonts w:ascii="Times New Roman" w:hAnsi="Times New Roman"/>
          <w:b w:val="false"/>
          <w:i w:val="false"/>
          <w:color w:val="000000"/>
          <w:sz w:val="21"/>
        </w:rPr>
        <w:t>[Filed ARC 3386C</w:t>
      </w:r>
      <w:r>
        <w:rPr>
          <w:rFonts w:ascii="Times New Roman" w:hAnsi="Times New Roman"/>
          <w:b w:val="false"/>
          <w:i w:val="false"/>
          <w:color w:val="000000"/>
          <w:sz w:val="21"/>
        </w:rPr>
        <w:t xml:space="preserve"> (Notice ARC 3155C, IAB 7/5/17)</w:t>
      </w:r>
      <w:r>
        <w:rPr>
          <w:rFonts w:ascii="Times New Roman" w:hAnsi="Times New Roman"/>
          <w:b w:val="false"/>
          <w:i w:val="false"/>
          <w:color w:val="000000"/>
          <w:sz w:val="21"/>
        </w:rPr>
        <w:t>, IAB 10/11/17, effective 11/15/17]</w:t>
      </w:r>
    </w:p>
    <w:p>
      <w:pPr>
        <w:spacing w:before="0" w:after="0"/>
        <w:ind w:left="120"/>
        <w:jc w:val="center"/>
      </w:pPr>
      <w:r>
        <w:rPr>
          <w:rFonts w:ascii="Times New Roman" w:hAnsi="Times New Roman"/>
          <w:b w:val="false"/>
          <w:i w:val="false"/>
          <w:color w:val="000000"/>
          <w:sz w:val="21"/>
        </w:rPr>
        <w:t>[Editorial change: IAC Supplement 11/1/23]</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5.411.pdf" Type="http://schemas.openxmlformats.org/officeDocument/2006/relationships/hyperlink" Id="rId5"/>
    <Relationship TargetMode="External" Target="https://www.legis.iowa.gov/docs/ico/chapter/15.106A.pdf" Type="http://schemas.openxmlformats.org/officeDocument/2006/relationships/hyperlink" Id="rId6"/>
    <Relationship TargetMode="External" Target="https://www.legis.iowa.gov/docs/ico/chapter/84A.1.pdf" Type="http://schemas.openxmlformats.org/officeDocument/2006/relationships/hyperlink" Id="rId7"/>
    <Relationship TargetMode="External" Target="https://www.legis.iowa.gov/docs/ico/chapter/15.105.pdf" Type="http://schemas.openxmlformats.org/officeDocument/2006/relationships/hyperlink" Id="rId8"/>
    <Relationship TargetMode="External" Target="https://www.legis.iowa.gov/docs/iac/chapter/261.1.pdf" Type="http://schemas.openxmlformats.org/officeDocument/2006/relationships/hyperlink" Id="rId9"/>
    <Relationship TargetMode="External" Target="https://www.legis.iowa.gov/docs/ico/chapter/260C.pdf" Type="http://schemas.openxmlformats.org/officeDocument/2006/relationships/hyperlink" Id="rId10"/>
    <Relationship TargetMode="External" Target="http://www.act.org" Type="http://schemas.openxmlformats.org/officeDocument/2006/relationships/hyperlink" Id="rId11"/>
    <Relationship TargetMode="External" Target="https://www.legis.iowa.gov/docs/iac/chapter/261.104.pdf" Type="http://schemas.openxmlformats.org/officeDocument/2006/relationships/hyperlink" Id="rId12"/>
    <Relationship TargetMode="External" Target="https://www.legis.iowa.gov/docs/iac/rule/261.110.3.pdf" Type="http://schemas.openxmlformats.org/officeDocument/2006/relationships/hyperlink" Id="rId13"/>
    <Relationship TargetMode="External" Target="https://www.legis.iowa.gov/docs/iac/rule/261.110.7.pdf" Type="http://schemas.openxmlformats.org/officeDocument/2006/relationships/hyperlink" Id="rId14"/>
    <Relationship TargetMode="External" Target="http://www.iowaworkforcedevelopment.gov" Type="http://schemas.openxmlformats.org/officeDocument/2006/relationships/hyperlink" Id="rId15"/>
    <Relationship TargetMode="External" Target="https://www.legis.iowa.gov/docs/iac/rule/261.110.12.pdf" Type="http://schemas.openxmlformats.org/officeDocument/2006/relationships/hyperlink" Id="rId16"/>
    <Relationship TargetMode="External" Target="https://www.legis.iowa.gov/docs/ico/chapter/15.411.pdf" Type="http://schemas.openxmlformats.org/officeDocument/2006/relationships/hyperlink" Id="rId1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