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w:t>
      </w:r>
    </w:p>
    <w:p>
      <w:pPr>
        <w:spacing w:before="0" w:after="0"/>
        <w:ind w:left="120"/>
        <w:jc w:val="center"/>
      </w:pPr>
      <w:r>
        <w:rPr>
          <w:rFonts w:ascii="Times New Roman" w:hAnsi="Times New Roman"/>
          <w:b w:val="false"/>
          <w:i w:val="false"/>
          <w:color w:val="000000"/>
          <w:sz w:val="21"/>
        </w:rPr>
        <w:t>PETITIONS</w:t>
      </w:r>
    </w:p>
    <w:p>
      <w:pPr>
        <w:spacing w:before="0" w:after="0"/>
        <w:ind w:left="120"/>
        <w:jc w:val="center"/>
      </w:pPr>
      <w:r>
        <w:rPr>
          <w:rFonts w:ascii="Times New Roman" w:hAnsi="Times New Roman"/>
          <w:b w:val="false"/>
          <w:i w:val="false"/>
          <w:color w:val="000000"/>
          <w:sz w:val="14"/>
        </w:rPr>
        <w:t>[Prior to 6/10/92, see 345—6.5(96) and 6.8(96)]</w:t>
      </w:r>
    </w:p>
    <w:p>
      <w:pPr>
        <w:spacing w:before="0" w:after="0"/>
        <w:ind w:left="120"/>
        <w:jc w:val="center"/>
      </w:pPr>
      <w:r>
        <w:rPr>
          <w:rFonts w:ascii="Times New Roman" w:hAnsi="Times New Roman"/>
          <w:b w:val="false"/>
          <w:i w:val="false"/>
          <w:color w:val="000000"/>
          <w:sz w:val="14"/>
        </w:rPr>
        <w:t>[Prior to 5/21/97, see Job Service[345] Ch 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877—26.1</w:t>
      </w:r>
      <w:r>
        <w:rPr>
          <w:rFonts w:ascii="Times New Roman" w:hAnsi="Times New Roman"/>
          <w:b/>
          <w:i w:val="false"/>
          <w:color w:val="000000"/>
          <w:sz w:val="22"/>
        </w:rPr>
        <w:t xml:space="preserve">(17A,96) </w:t>
      </w:r>
      <w:r>
        <w:rPr>
          <w:rFonts w:ascii="Times New Roman" w:hAnsi="Times New Roman"/>
          <w:b/>
          <w:i w:val="false"/>
          <w:color w:val="000000"/>
          <w:sz w:val="22"/>
        </w:rPr>
        <w:t xml:space="preserve">Petition for rule making. </w:t>
      </w:r>
      <w:r>
        <w:rPr>
          <w:rFonts w:ascii="Times New Roman" w:hAnsi="Times New Roman"/>
          <w:b w:val="false"/>
          <w:i w:val="false"/>
          <w:color w:val="000000"/>
          <w:sz w:val="22"/>
        </w:rPr>
        <w:t>Any person may file a petition for rule making with Department of Workforce Development, 1000 East Grand Avenue, Des Moines, Iowa 50319. A petition is deemed filed when it is received by that office. The agency must provide the petitioner with a file-stamped copy of the petition if the petitioner provides the agency an extra copy for this purpose. The petition must be typewritten, or legibly handwritten in ink, and must substantially conform to the following form:</w:t>
      </w:r>
    </w:p>
    <w:p>
      <w:pPr>
        <w:spacing w:before="0" w:after="0"/>
        <w:ind w:left="120"/>
        <w:jc w:val="center"/>
      </w:pPr>
      <w:r>
        <w:rPr>
          <w:rFonts w:ascii="Times New Roman" w:hAnsi="Times New Roman"/>
          <w:b w:val="false"/>
          <w:i w:val="false"/>
          <w:color w:val="000000"/>
          <w:sz w:val="22"/>
        </w:rPr>
        <w:t>DEPARTMENT OF WORKFORCE DEVELOPMENT</w:t>
      </w:r>
    </w:p>
    <w:p>
      <w:pPr>
        <w:spacing w:before="0" w:after="0"/>
        <w:ind w:left="120"/>
        <w:jc w:val="center"/>
      </w:pPr>
      <w:r>
        <w:rPr>
          <w:rFonts w:ascii="Times New Roman" w:hAnsi="Times New Roman"/>
          <w:b w:val="false"/>
          <w:i w:val="false"/>
          <w:color w:val="000000"/>
          <w:sz w:val="22"/>
        </w:rPr>
        <w:t>DIVISION OF WORKFORCE DEVELOPMENT CENTER ADMINISTRATION</w:t>
      </w:r>
    </w:p>
    <w:tbl>
      <w:tblPr>
        <w:tblW w:w="5000" w:type="pct"/>
        <w:tblCellSpacing w:w="0" w:type="auto"/>
        <w:tblBorders>
          <w:top w:val="single" w:color="000000" w:sz="8"/>
          <w:left w:val="none"/>
          <w:bottom w:val="single" w:color="000000" w:sz="8"/>
          <w:right w:val="none"/>
          <w:insideH w:val="none"/>
          <w:insideV w:val="none"/>
        </w:tblBorders>
        <w:tblLayout w:type="fixed"/>
      </w:tblPr>
      <w:tblGrid>
        <w:gridCol w:w="4850"/>
        <w:gridCol w:w="1490"/>
        <w:gridCol w:w="4850"/>
      </w:tblGrid>
      <w:tr>
        <w:trPr>
          <w:trHeight w:val="1200"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 for the</w:t>
            </w:r>
          </w:p>
          <w:p>
            <w:pPr>
              <w:spacing w:before="0" w:after="0"/>
              <w:ind w:left="160"/>
              <w:jc w:val="left"/>
            </w:pPr>
            <w:r>
              <w:rPr>
                <w:rFonts w:ascii="Times New Roman" w:hAnsi="Times New Roman"/>
                <w:b w:val="false"/>
                <w:i w:val="false"/>
                <w:color w:val="000000"/>
                <w:sz w:val="16"/>
              </w:rPr>
              <w:t>(adoption, amendment, or repeal) of rules</w:t>
            </w:r>
          </w:p>
          <w:p>
            <w:pPr>
              <w:spacing w:before="0" w:after="0"/>
              <w:ind w:left="160"/>
              <w:jc w:val="left"/>
            </w:pPr>
            <w:r>
              <w:rPr>
                <w:rFonts w:ascii="Times New Roman" w:hAnsi="Times New Roman"/>
                <w:b w:val="false"/>
                <w:i w:val="false"/>
                <w:color w:val="000000"/>
                <w:sz w:val="16"/>
              </w:rPr>
              <w:t>relating to (state the subject matter).</w:t>
            </w:r>
          </w:p>
        </w:tc>
        <w:tc>
          <w:tcPr>
            <w:tcW w:w="149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96"/>
              </w:rPr>
              <w:t>}</w:t>
            </w:r>
          </w:p>
          <w:p>
            <w:pPr>
              <w:spacing w:before="0" w:after="0"/>
              <w:ind w:left="160"/>
              <w:jc w:val="center"/>
            </w:pPr>
            <w:r>
              <w:rPr>
                <w:rFonts w:ascii="Times New Roman" w:hAnsi="Times New Roman"/>
                <w:b w:val="false"/>
                <w:i w:val="false"/>
                <w:color w:val="000000"/>
                <w:sz w:val="96"/>
              </w:rPr>
              <w:t> </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RULE MAKING</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statement to the specific rule-making action sought by the petitioner, including the text or a summary of the contents of the proposed rule or amendment to a rule, and, if it is a petition to amend or repeal a rule, a citation and the relevant language to the particular portion or portions of the rule proposed to be amended or repealed.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to any law deemed relevant to the agency’s authority to take the action urged or to the desirability of that action.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brief summary of petitioner’s arguments in support of the action urged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brief summary of any data supporting the action urged in the petition.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other persons, or a description of any class of persons, known by petitioner to be affected by, or interested in, the proposed action which is the subject of the petition.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Any request by petitioner for a meeting provided for by subrule </w:t>
      </w:r>
      <w:hyperlink r:id="rId5">
        <w:r>
          <w:rPr>
            <w:rStyle w:val="Hyperlink"/>
            <w:rFonts w:ascii="Times New Roman" w:hAnsi="Times New Roman"/>
            <w:b w:val="false"/>
            <w:i w:val="false"/>
            <w:color w:val="000000"/>
            <w:sz w:val="22"/>
          </w:rPr>
          <w:t>26.1(5)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w:t>
      </w:r>
      <w:r>
        <w:rPr>
          <w:rFonts w:ascii="Times New Roman" w:hAnsi="Times New Roman"/>
          <w:b w:val="false"/>
          <w:i w:val="false"/>
          <w:color w:val="000000"/>
          <w:sz w:val="22"/>
        </w:rPr>
        <w:t> </w:t>
      </w: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26.1(2)</w:t>
      </w:r>
      <w:r>
        <w:rPr>
          <w:rFonts w:ascii="Times New Roman" w:hAnsi="Times New Roman"/>
          <w:b w:val="false"/>
          <w:i w:val="false"/>
          <w:color w:val="000000"/>
          <w:sz w:val="22"/>
        </w:rPr>
        <w:t> </w:t>
      </w:r>
      <w:r>
        <w:rPr>
          <w:rFonts w:ascii="Times New Roman" w:hAnsi="Times New Roman"/>
          <w:b w:val="false"/>
          <w:i w:val="false"/>
          <w:color w:val="000000"/>
          <w:sz w:val="22"/>
        </w:rPr>
        <w:t>The agency may deny a petition because it does not substantially conform to the required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w:t>
      </w:r>
      <w:r>
        <w:rPr>
          <w:rFonts w:ascii="Times New Roman" w:hAnsi="Times New Roman"/>
          <w:b w:val="false"/>
          <w:i w:val="false"/>
          <w:color w:val="000000"/>
          <w:sz w:val="22"/>
        </w:rPr>
        <w:t> </w:t>
      </w:r>
      <w:r>
        <w:rPr>
          <w:rFonts w:ascii="Times New Roman" w:hAnsi="Times New Roman"/>
          <w:b w:val="false"/>
          <w:i w:val="false"/>
          <w:color w:val="000000"/>
          <w:sz w:val="22"/>
        </w:rPr>
        <w:t>Briefs. The petitioner may attach a brief to the petition in support of the action urged in the petition. The agency may request a brief from the petitioner or from any other person concerning the substance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26.1(4)</w:t>
      </w:r>
      <w:r>
        <w:rPr>
          <w:rFonts w:ascii="Times New Roman" w:hAnsi="Times New Roman"/>
          <w:b w:val="false"/>
          <w:i w:val="false"/>
          <w:color w:val="000000"/>
          <w:sz w:val="22"/>
        </w:rPr>
        <w:t> </w:t>
      </w:r>
      <w:r>
        <w:rPr>
          <w:rFonts w:ascii="Times New Roman" w:hAnsi="Times New Roman"/>
          <w:b w:val="false"/>
          <w:i w:val="false"/>
          <w:color w:val="000000"/>
          <w:sz w:val="22"/>
        </w:rPr>
        <w:t>Inquiries. Inquiries concerning the status of a petition for rule making may be made to the Director, Department of Workforce Development, 1000 East Grand Avenue,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26.1(5)</w:t>
      </w:r>
      <w:r>
        <w:rPr>
          <w:rFonts w:ascii="Times New Roman" w:hAnsi="Times New Roman"/>
          <w:b w:val="false"/>
          <w:i w:val="false"/>
          <w:color w:val="000000"/>
          <w:sz w:val="22"/>
        </w:rPr>
        <w:t> </w:t>
      </w:r>
      <w:r>
        <w:rPr>
          <w:rFonts w:ascii="Times New Roman" w:hAnsi="Times New Roman"/>
          <w:b w:val="false"/>
          <w:i w:val="false"/>
          <w:color w:val="000000"/>
          <w:sz w:val="22"/>
        </w:rPr>
        <w:t>Agency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14 days after the filing of a petition, the agency must submit a copy of the petition and any accompanying brief to the administrative rules coordinator and to the administrative rules review committee. Upon request by petitioner in the petition, the agency must schedule a brief and informal meeting between the petitioner and the agency, a member of the agency, or a member of the staff of the agency to discuss the petition. The agency may request the petitioner to submit additional information or argument concerning the petition. The agency may also solicit comments from any person on the substance of the petition. Also, comments on the substance of the petition may be submitted to the agency by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60 days after the filing of the petition, or within any longer period agreed to by the petitioner, the agency must, in writing, deny the petition and notify petitioner of its action and the specific grounds for the denial, or grant the petition and notify petitioner that it has instituted rule-making proceedings on the subject of the petition. Petitioner shall be deemed notified of the denial or grant of the petition on the date when the agency mails or delivers the required notification to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Denial of petition because it does not substantially conform to the required form does not preclude the filing of a new petition on the same subject that seeks to eliminate the grounds for the agency’s rejection of the petition.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877—26.2</w:t>
      </w:r>
      <w:r>
        <w:rPr>
          <w:rFonts w:ascii="Times New Roman" w:hAnsi="Times New Roman"/>
          <w:b/>
          <w:i w:val="false"/>
          <w:color w:val="000000"/>
          <w:sz w:val="22"/>
        </w:rPr>
        <w:t xml:space="preserve">(17A,96)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Any person may file a petition with the department of workforce development for a declaratory order as to the applicability to specified circumstances of a statute, rule, or order within the primary jurisdiction of the department of workforce development at its offices at 1000 East Grand Avenue, Des Moines, Iowa 50319. A petition is deemed filed when it is received by that office. The department of workforce development shall provide the petitioner with a file-stamped copy of the petition if the petitioner provides the agency an extra copy for this purpose. 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390"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DEPARTMENT OF WORKFORCE DEVELOPMENT</w:t>
            </w:r>
          </w:p>
          <w:p>
            <w:pPr>
              <w:spacing w:before="0" w:after="0"/>
              <w:ind w:left="160"/>
              <w:jc w:val="center"/>
            </w:pPr>
            <w:r>
              <w:rPr>
                <w:rFonts w:ascii="Times New Roman" w:hAnsi="Times New Roman"/>
                <w:b w:val="false"/>
                <w:i w:val="false"/>
                <w:color w:val="000000"/>
                <w:sz w:val="16"/>
              </w:rPr>
              <w:t>DIVISION OF WORKFORCE DEVELOPMENT CENTER ADMINISTRATION</w:t>
            </w:r>
          </w:p>
        </w:tc>
      </w:tr>
      <w:tr>
        <w:trPr>
          <w:trHeight w:val="1200"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a Declaratory Order on</w:t>
            </w:r>
          </w:p>
          <w:p>
            <w:pPr>
              <w:spacing w:before="0" w:after="0"/>
              <w:ind w:left="160"/>
              <w:jc w:val="left"/>
            </w:pPr>
            <w:r>
              <w:rPr>
                <w:rFonts w:ascii="Times New Roman" w:hAnsi="Times New Roman"/>
                <w:b w:val="false"/>
                <w:i w:val="false"/>
                <w:color w:val="000000"/>
                <w:sz w:val="16"/>
              </w:rPr>
              <w:t>(Cite provisions of law involved).</w:t>
            </w:r>
          </w:p>
        </w:tc>
        <w:tc>
          <w:tcPr>
            <w:tcW w:w="149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96"/>
              </w:rPr>
              <w:t>}</w:t>
            </w:r>
          </w:p>
          <w:p>
            <w:pPr>
              <w:spacing w:before="0" w:after="0"/>
              <w:ind w:left="160"/>
              <w:jc w:val="center"/>
            </w:pPr>
            <w:r>
              <w:rPr>
                <w:rFonts w:ascii="Times New Roman" w:hAnsi="Times New Roman"/>
                <w:b w:val="false"/>
                <w:i w:val="false"/>
                <w:color w:val="000000"/>
                <w:sz w:val="96"/>
              </w:rPr>
              <w:t> </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DECLARATORY ORDER</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clear and concise statement of all relevant facts on which the order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questions petitioner wants answered, stated clearly and concisely.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of other persons, or a description of any class of persons, known by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Any request by petitioner for a meeting provided for by subrule </w:t>
      </w:r>
      <w:hyperlink r:id="rId8">
        <w:r>
          <w:rPr>
            <w:rStyle w:val="Hyperlink"/>
            <w:rFonts w:ascii="Times New Roman" w:hAnsi="Times New Roman"/>
            <w:b w:val="false"/>
            <w:i w:val="false"/>
            <w:color w:val="000000"/>
            <w:sz w:val="22"/>
          </w:rPr>
          <w:t>26.2(6)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the petitioner’s representative and 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26.2(1)</w:t>
      </w:r>
      <w:r>
        <w:rPr>
          <w:rFonts w:ascii="Times New Roman" w:hAnsi="Times New Roman"/>
          <w:b w:val="false"/>
          <w:i w:val="false"/>
          <w:color w:val="000000"/>
          <w:sz w:val="22"/>
        </w:rPr>
        <w:t> </w:t>
      </w:r>
      <w:r>
        <w:rPr>
          <w:rFonts w:ascii="Times New Roman" w:hAnsi="Times New Roman"/>
          <w:b w:val="false"/>
          <w:i/>
          <w:color w:val="000000"/>
          <w:sz w:val="22"/>
        </w:rPr>
        <w:t xml:space="preserve">Notice of petition. </w:t>
      </w:r>
      <w:r>
        <w:rPr>
          <w:rFonts w:ascii="Times New Roman" w:hAnsi="Times New Roman"/>
          <w:b w:val="false"/>
          <w:i w:val="false"/>
          <w:color w:val="000000"/>
          <w:sz w:val="22"/>
        </w:rPr>
        <w:t xml:space="preserve">Within 10 days after receipt of a petition for a declaratory order, the department of workforce development shall give notice of the petition to all persons not served by the petitioner pursuant to subrule </w:t>
      </w:r>
      <w:hyperlink r:id="rId9">
        <w:r>
          <w:rPr>
            <w:rStyle w:val="Hyperlink"/>
            <w:rFonts w:ascii="Times New Roman" w:hAnsi="Times New Roman"/>
            <w:b w:val="false"/>
            <w:i w:val="false"/>
            <w:color w:val="000000"/>
            <w:sz w:val="22"/>
          </w:rPr>
          <w:t>26.2(5)</w:t>
        </w:r>
      </w:hyperlink>
      <w:r>
        <w:rPr>
          <w:rFonts w:ascii="Times New Roman" w:hAnsi="Times New Roman"/>
          <w:b w:val="false"/>
          <w:i w:val="false"/>
          <w:color w:val="000000"/>
          <w:sz w:val="22"/>
        </w:rPr>
        <w:t xml:space="preserve"> to whom notice is required by any provision of law. The department of workforce development may also give notice to any other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26.2(2)</w:t>
      </w:r>
      <w:r>
        <w:rPr>
          <w:rFonts w:ascii="Times New Roman" w:hAnsi="Times New Roman"/>
          <w:b w:val="false"/>
          <w:i w:val="false"/>
          <w:color w:val="000000"/>
          <w:sz w:val="22"/>
        </w:rPr>
        <w:t> </w:t>
      </w:r>
      <w:r>
        <w:rPr>
          <w:rFonts w:ascii="Times New Roman" w:hAnsi="Times New Roman"/>
          <w:b w:val="false"/>
          <w:i/>
          <w:color w:val="000000"/>
          <w:sz w:val="22"/>
        </w:rPr>
        <w:t xml:space="preserve">Interventions. </w:t>
      </w:r>
      <w:r>
        <w:rPr>
          <w:rFonts w:ascii="Times New Roman" w:hAnsi="Times New Roman"/>
          <w:b w:val="false"/>
          <w:i w:val="false"/>
          <w:color w:val="000000"/>
          <w:sz w:val="22"/>
        </w:rPr>
        <w:t>Persons who qualify under applicable provision of law as an intervenor and who file a petition for intervention within 20 days of the filing of a petition for declaratory order shall be allowed to intervene in a proceeding for a declaratory order. Any person who files a petition for intervention at any time prior to the issuance of an order may be allowed to intervene in a proceeding for a declaratory order at the discretion of the department of workforce development. A petition for intervention shall be filed at 1000 East Grand Avenue, Des Moines, Iowa 50319. Such petition is deemed filed when it is received by that office. The department of workforce development will provide the petitioner with a file-stamped copy of the petition for intervention if the petitioner provides an extra copy for this purpose. A petition for intervention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390"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DEPARTMENT OF WORKFORCE DEVELOPMENT</w:t>
            </w:r>
          </w:p>
          <w:p>
            <w:pPr>
              <w:spacing w:before="0" w:after="0"/>
              <w:ind w:left="160"/>
              <w:jc w:val="center"/>
            </w:pPr>
            <w:r>
              <w:rPr>
                <w:rFonts w:ascii="Times New Roman" w:hAnsi="Times New Roman"/>
                <w:b w:val="false"/>
                <w:i w:val="false"/>
                <w:color w:val="000000"/>
                <w:sz w:val="16"/>
              </w:rPr>
              <w:t>DIVISION OF WORKFORCE DEVELOPMENT CENTER ADMINISTRATION</w:t>
            </w:r>
          </w:p>
        </w:tc>
      </w:tr>
      <w:tr>
        <w:trPr>
          <w:trHeight w:val="1200"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Original Petitioner)</w:t>
            </w:r>
          </w:p>
          <w:p>
            <w:pPr>
              <w:spacing w:before="0" w:after="0"/>
              <w:ind w:left="160"/>
              <w:jc w:val="left"/>
            </w:pPr>
            <w:r>
              <w:rPr>
                <w:rFonts w:ascii="Times New Roman" w:hAnsi="Times New Roman"/>
                <w:b w:val="false"/>
                <w:i w:val="false"/>
                <w:color w:val="000000"/>
                <w:sz w:val="16"/>
              </w:rPr>
              <w:t>for a Declaratory Order on (Cite provisions</w:t>
            </w:r>
          </w:p>
          <w:p>
            <w:pPr>
              <w:spacing w:before="0" w:after="0"/>
              <w:ind w:left="160"/>
              <w:jc w:val="left"/>
            </w:pPr>
            <w:r>
              <w:rPr>
                <w:rFonts w:ascii="Times New Roman" w:hAnsi="Times New Roman"/>
                <w:b w:val="false"/>
                <w:i w:val="false"/>
                <w:color w:val="000000"/>
                <w:sz w:val="16"/>
              </w:rPr>
              <w:t>of law cited in the original petition).</w:t>
            </w:r>
          </w:p>
        </w:tc>
        <w:tc>
          <w:tcPr>
            <w:tcW w:w="149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96"/>
              </w:rPr>
              <w:t>}</w:t>
            </w:r>
          </w:p>
          <w:p>
            <w:pPr>
              <w:spacing w:before="0" w:after="0"/>
              <w:ind w:left="160"/>
              <w:jc w:val="center"/>
            </w:pPr>
            <w:r>
              <w:rPr>
                <w:rFonts w:ascii="Times New Roman" w:hAnsi="Times New Roman"/>
                <w:b w:val="false"/>
                <w:i w:val="false"/>
                <w:color w:val="000000"/>
                <w:sz w:val="96"/>
              </w:rPr>
              <w:t> </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INTERVENTION</w:t>
            </w:r>
          </w:p>
        </w:tc>
      </w:tr>
    </w:tbl>
    <w:p>
      <w:pPr>
        <w:spacing w:before="0" w:after="0"/>
        <w:ind w:left="120"/>
        <w:jc w:val="both"/>
      </w:pPr>
      <w:r>
        <w:rPr>
          <w:rFonts w:ascii="Times New Roman" w:hAnsi="Times New Roman"/>
          <w:b w:val="false"/>
          <w:i w:val="false"/>
          <w:color w:val="000000"/>
          <w:sz w:val="22"/>
        </w:rPr>
        <w:t>The petition for intervention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Facts supporting the intervenor’s standing and qualification for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any governmental entity.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ind w:left="120"/>
        <w:jc w:val="both"/>
      </w:pPr>
      <w:r>
        <w:rPr>
          <w:rFonts w:ascii="Times New Roman" w:hAnsi="Times New Roman"/>
          <w:b w:val="false"/>
          <w:i w:val="false"/>
          <w:color w:val="000000"/>
          <w:sz w:val="22"/>
        </w:rPr>
        <w:t>The petition must be dated and signed by the intervenor or the intervenor’s representative. It must also include the name, mailing address, and telephone number of the intervenor and intervenor’s representative, and a statement indicating the person to whom communications should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26.2(3)</w:t>
      </w:r>
      <w:r>
        <w:rPr>
          <w:rFonts w:ascii="Times New Roman" w:hAnsi="Times New Roman"/>
          <w:b w:val="false"/>
          <w:i w:val="false"/>
          <w:color w:val="000000"/>
          <w:sz w:val="22"/>
        </w:rPr>
        <w:t> </w:t>
      </w:r>
      <w:r>
        <w:rPr>
          <w:rFonts w:ascii="Times New Roman" w:hAnsi="Times New Roman"/>
          <w:b w:val="false"/>
          <w:i/>
          <w:color w:val="000000"/>
          <w:sz w:val="22"/>
        </w:rPr>
        <w:t xml:space="preserve">Briefs. </w:t>
      </w:r>
      <w:r>
        <w:rPr>
          <w:rFonts w:ascii="Times New Roman" w:hAnsi="Times New Roman"/>
          <w:b w:val="false"/>
          <w:i w:val="false"/>
          <w:color w:val="000000"/>
          <w:sz w:val="22"/>
        </w:rPr>
        <w:t>The petitioner or intervenor may file a brief in support of the position urged. The department of workforce development may request a brief from the petitioner, any intervenor or any other person concerning the questions raised.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26.2(4)</w:t>
      </w:r>
      <w:r>
        <w:rPr>
          <w:rFonts w:ascii="Times New Roman" w:hAnsi="Times New Roman"/>
          <w:b w:val="false"/>
          <w:i w:val="false"/>
          <w:color w:val="000000"/>
          <w:sz w:val="22"/>
        </w:rPr>
        <w:t> </w:t>
      </w:r>
      <w:r>
        <w:rPr>
          <w:rFonts w:ascii="Times New Roman" w:hAnsi="Times New Roman"/>
          <w:b w:val="false"/>
          <w:i/>
          <w:color w:val="000000"/>
          <w:sz w:val="22"/>
        </w:rPr>
        <w:t xml:space="preserve">Inquiries. </w:t>
      </w:r>
      <w:r>
        <w:rPr>
          <w:rFonts w:ascii="Times New Roman" w:hAnsi="Times New Roman"/>
          <w:b w:val="false"/>
          <w:i w:val="false"/>
          <w:color w:val="000000"/>
          <w:sz w:val="22"/>
        </w:rPr>
        <w:t>Inquiries concerning the status of a declaratory order proceeding may be made to the Director, Department of Workforce Development, 1000 East Grand Avenue,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26.2(5)</w:t>
      </w:r>
      <w:r>
        <w:rPr>
          <w:rFonts w:ascii="Times New Roman" w:hAnsi="Times New Roman"/>
          <w:b w:val="false"/>
          <w:i w:val="false"/>
          <w:color w:val="000000"/>
          <w:sz w:val="22"/>
        </w:rPr>
        <w:t> </w:t>
      </w:r>
      <w:r>
        <w:rPr>
          <w:rFonts w:ascii="Times New Roman" w:hAnsi="Times New Roman"/>
          <w:b w:val="false"/>
          <w:i/>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their filing. The party filing a document is responsible for service on all parties and other affected or interested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petitions for declaratory orders, petitions for intervention, briefs, or other papers in a proceeding for a declaratory order shall be filed with the Director, Department of Workforce Development, 1000 East Grand Avenue, Des Moines, Iowa 50319. All petitions, briefs, or other papers that are required to be served upon a party shall be filed simultaneously with the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upon a party represented by an attorney shall be made upon the attorney and a copy will be sent to the petitioner. Service is made by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After the notice of hearing, all pleadings, motions, documents or other papers that are required to be served upon a party shall be filed simultaneously with the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Except where otherwise provided by law, a document is deemed filed at the time it is delivered to the department of workforce development, delivered to an established courier service for immediate delivery to that office, or mailed by first-class mail or state interoffice mail to that office,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Proof of mailing includes either: a legible United States Postal Service postmark on the envelope, a certificate of service, a notarized affidavit, or a certification in substantially the following form:</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495"/>
        <w:gridCol w:w="4014"/>
        <w:gridCol w:w="6681"/>
      </w:tblGrid>
      <w:tr>
        <w:trPr>
          <w:trHeight w:val="138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I certify under penalty of perjury and pursuant to the laws of Iowa that, on (date of mailing), I mailed copies of (describe document) addressed to the Department of Workforce Development, 1000 East Grand Avenue, Des Moines, Iowa 50319, and to the names and addresses of the parties listed below by depositing the same in (a United States post office mailbox with correct postage properly affixed or state interoffice mail).</w:t>
            </w:r>
          </w:p>
        </w:tc>
      </w:tr>
      <w:tr>
        <w:trPr>
          <w:trHeight w:val="27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66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26.2(6)</w:t>
      </w:r>
      <w:r>
        <w:rPr>
          <w:rFonts w:ascii="Times New Roman" w:hAnsi="Times New Roman"/>
          <w:b w:val="false"/>
          <w:i w:val="false"/>
          <w:color w:val="000000"/>
          <w:sz w:val="22"/>
        </w:rPr>
        <w:t> </w:t>
      </w:r>
      <w:r>
        <w:rPr>
          <w:rFonts w:ascii="Times New Roman" w:hAnsi="Times New Roman"/>
          <w:b w:val="false"/>
          <w:i/>
          <w:color w:val="000000"/>
          <w:sz w:val="22"/>
        </w:rPr>
        <w:t xml:space="preserve">Consideration. </w:t>
      </w:r>
      <w:r>
        <w:rPr>
          <w:rFonts w:ascii="Times New Roman" w:hAnsi="Times New Roman"/>
          <w:b w:val="false"/>
          <w:i w:val="false"/>
          <w:color w:val="000000"/>
          <w:sz w:val="22"/>
        </w:rPr>
        <w:t>Upon request by petitioner, the department of workforce development must schedule a brief and informal meeting between the original petitioner, all intervenors, and the department, a member of the department, or a member of the staff of the department, to discuss the questions raised. The department may solicit comments from any person on the questions raised. Also, comments on the questions raised may be submitted to the department by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26.2(7)</w:t>
      </w:r>
      <w:r>
        <w:rPr>
          <w:rFonts w:ascii="Times New Roman" w:hAnsi="Times New Roman"/>
          <w:b w:val="false"/>
          <w:i w:val="false"/>
          <w:color w:val="000000"/>
          <w:sz w:val="22"/>
        </w:rPr>
        <w:t> </w:t>
      </w:r>
      <w:r>
        <w:rPr>
          <w:rFonts w:ascii="Times New Roman" w:hAnsi="Times New Roman"/>
          <w:b w:val="false"/>
          <w:i/>
          <w:color w:val="000000"/>
          <w:sz w:val="22"/>
        </w:rPr>
        <w:t xml:space="preserve">Action on petition. </w:t>
      </w:r>
      <w:r>
        <w:rPr>
          <w:rFonts w:ascii="Times New Roman" w:hAnsi="Times New Roman"/>
          <w:b w:val="false"/>
          <w:i w:val="false"/>
          <w:color w:val="000000"/>
          <w:sz w:val="22"/>
        </w:rPr>
        <w:t xml:space="preserve">Within the time allowed by </w:t>
      </w:r>
      <w:r>
        <w:rPr>
          <w:rFonts w:ascii="Times New Roman" w:hAnsi="Times New Roman"/>
          <w:b w:val="false"/>
          <w:i w:val="false"/>
          <w:color w:val="000000"/>
          <w:sz w:val="22"/>
        </w:rPr>
        <w:t>1998 Iowa Acts, chapter 1202, section 13(5)</w:t>
      </w:r>
      <w:r>
        <w:rPr>
          <w:rFonts w:ascii="Times New Roman" w:hAnsi="Times New Roman"/>
          <w:b w:val="false"/>
          <w:i w:val="false"/>
          <w:color w:val="000000"/>
          <w:sz w:val="22"/>
        </w:rPr>
        <w:t xml:space="preserve">, after receipt of a petition for a declaratory order, the director or designee shall take action on the petition as required by </w:t>
      </w:r>
      <w:r>
        <w:rPr>
          <w:rFonts w:ascii="Times New Roman" w:hAnsi="Times New Roman"/>
          <w:b w:val="false"/>
          <w:i w:val="false"/>
          <w:color w:val="000000"/>
          <w:sz w:val="22"/>
        </w:rPr>
        <w:t>1998 Iowa Acts, chapter 1202, section 13(5)</w:t>
      </w:r>
      <w:r>
        <w:rPr>
          <w:rFonts w:ascii="Times New Roman" w:hAnsi="Times New Roman"/>
          <w:b w:val="false"/>
          <w:i w:val="false"/>
          <w:color w:val="000000"/>
          <w:sz w:val="22"/>
        </w:rPr>
        <w:t>. The date of issuance of an order or of a refusal to issue an order is the date of mailing of the decision or date of delivery if service by another means unless another date is specified in the order. The administrative rules committee of the workforce development board will be advised of the disposition of all petitions.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26.2(8)</w:t>
      </w:r>
      <w:r>
        <w:rPr>
          <w:rFonts w:ascii="Times New Roman" w:hAnsi="Times New Roman"/>
          <w:b w:val="false"/>
          <w:i w:val="false"/>
          <w:color w:val="000000"/>
          <w:sz w:val="22"/>
        </w:rPr>
        <w:t> </w:t>
      </w:r>
      <w:r>
        <w:rPr>
          <w:rFonts w:ascii="Times New Roman" w:hAnsi="Times New Roman"/>
          <w:b w:val="false"/>
          <w:i/>
          <w:color w:val="000000"/>
          <w:sz w:val="22"/>
        </w:rPr>
        <w:t xml:space="preserve">Refusal to issue order. </w:t>
      </w:r>
      <w:r>
        <w:rPr>
          <w:rFonts w:ascii="Times New Roman" w:hAnsi="Times New Roman"/>
          <w:b w:val="false"/>
          <w:i w:val="false"/>
          <w:color w:val="000000"/>
          <w:sz w:val="22"/>
        </w:rPr>
        <w:t xml:space="preserve">The department of workforce development shall not issue a declaratory order where prohibited by </w:t>
      </w:r>
      <w:r>
        <w:rPr>
          <w:rFonts w:ascii="Times New Roman" w:hAnsi="Times New Roman"/>
          <w:b w:val="false"/>
          <w:i w:val="false"/>
          <w:color w:val="000000"/>
          <w:sz w:val="22"/>
        </w:rPr>
        <w:t>1998 Iowa Acts, chapter 1202, section 13(1)</w:t>
      </w:r>
      <w:r>
        <w:rPr>
          <w:rFonts w:ascii="Times New Roman" w:hAnsi="Times New Roman"/>
          <w:b w:val="false"/>
          <w:i w:val="false"/>
          <w:color w:val="000000"/>
          <w:sz w:val="22"/>
        </w:rPr>
        <w:t>, and may refuse to issue a declaratory order on some or all of the questions raised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petition does not substantially comply with the required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petition does not contain facts sufficient to demonstrate that the petitioner will be aggrieved or adversely affected by the failure of the department of workforce development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of workforce development does not have jurisdiction over the questions presented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are also presented in a current rule making, contested case, or other agency or judicial proceeding, that may definitively resolve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an agency decision already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petitioner requests the department of workforce development to determine whether a statute is unconstitutional on its face.</w:t>
      </w:r>
    </w:p>
    <w:p>
      <w:pPr>
        <w:spacing w:before="0" w:after="0"/>
        <w:ind w:left="120"/>
        <w:jc w:val="both"/>
      </w:pPr>
      <w:r>
        <w:rPr>
          <w:rFonts w:ascii="Times New Roman" w:hAnsi="Times New Roman"/>
          <w:b w:val="false"/>
          <w:i w:val="false"/>
          <w:color w:val="000000"/>
          <w:sz w:val="22"/>
        </w:rPr>
        <w:t>A refusal to issue a declaratory order must indicate the specific grounds for the refusal and constitutes final agency action on the petition.</w:t>
      </w:r>
    </w:p>
    <w:p>
      <w:pPr>
        <w:spacing w:before="0" w:after="0"/>
        <w:ind w:left="120"/>
        <w:jc w:val="both"/>
      </w:pPr>
      <w:r>
        <w:rPr>
          <w:rFonts w:ascii="Times New Roman" w:hAnsi="Times New Roman"/>
          <w:b w:val="false"/>
          <w:i w:val="false"/>
          <w:color w:val="000000"/>
          <w:sz w:val="22"/>
        </w:rPr>
        <w:t>Refusal to issue a declaratory order pursuant to this provision does not preclude the filing of a new petition that seeks to eliminate the grounds for the refusal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26.2(9)</w:t>
      </w:r>
      <w:r>
        <w:rPr>
          <w:rFonts w:ascii="Times New Roman" w:hAnsi="Times New Roman"/>
          <w:b w:val="false"/>
          <w:i w:val="false"/>
          <w:color w:val="000000"/>
          <w:sz w:val="22"/>
        </w:rPr>
        <w:t> </w:t>
      </w:r>
      <w:r>
        <w:rPr>
          <w:rFonts w:ascii="Times New Roman" w:hAnsi="Times New Roman"/>
          <w:b w:val="false"/>
          <w:i/>
          <w:color w:val="000000"/>
          <w:sz w:val="22"/>
        </w:rPr>
        <w:t xml:space="preserve">Contents of declaratory order—effective date. </w:t>
      </w:r>
      <w:r>
        <w:rPr>
          <w:rFonts w:ascii="Times New Roman" w:hAnsi="Times New Roman"/>
          <w:b w:val="false"/>
          <w:i w:val="false"/>
          <w:color w:val="000000"/>
          <w:sz w:val="22"/>
        </w:rPr>
        <w:t>In addition to the order itself, a declaratory order must contain the date of its issuance, the name of petitioner and all intervenors, specific statutes, rules, policies, decisions, or orders involved, the particular facts upon which it is based, and the reasons for its conclusion.</w:t>
      </w:r>
    </w:p>
    <w:p>
      <w:pPr>
        <w:spacing w:before="0" w:after="0"/>
        <w:ind w:left="120"/>
        <w:jc w:val="both"/>
      </w:pPr>
      <w:r>
        <w:rPr>
          <w:rFonts w:ascii="Times New Roman" w:hAnsi="Times New Roman"/>
          <w:b w:val="false"/>
          <w:i w:val="false"/>
          <w:color w:val="000000"/>
          <w:sz w:val="22"/>
        </w:rPr>
        <w:t>A declaratory order is effective on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26.2(10)</w:t>
      </w:r>
      <w:r>
        <w:rPr>
          <w:rFonts w:ascii="Times New Roman" w:hAnsi="Times New Roman"/>
          <w:b w:val="false"/>
          <w:i w:val="false"/>
          <w:color w:val="000000"/>
          <w:sz w:val="22"/>
        </w:rPr>
        <w:t> </w:t>
      </w:r>
      <w:r>
        <w:rPr>
          <w:rFonts w:ascii="Times New Roman" w:hAnsi="Times New Roman"/>
          <w:b w:val="false"/>
          <w:i/>
          <w:color w:val="000000"/>
          <w:sz w:val="22"/>
        </w:rPr>
        <w:t xml:space="preserve">Copies of orders. </w:t>
      </w:r>
      <w:r>
        <w:rPr>
          <w:rFonts w:ascii="Times New Roman" w:hAnsi="Times New Roman"/>
          <w:b w:val="false"/>
          <w:i w:val="false"/>
          <w:color w:val="000000"/>
          <w:sz w:val="22"/>
        </w:rPr>
        <w:t>A copy of all orders issued in response to a petition for a declaratory order shall be mailed promptly to the original petitioner and all intervenors.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26.2(11)</w:t>
      </w:r>
      <w:r>
        <w:rPr>
          <w:rFonts w:ascii="Times New Roman" w:hAnsi="Times New Roman"/>
          <w:b w:val="false"/>
          <w:i w:val="false"/>
          <w:color w:val="000000"/>
          <w:sz w:val="22"/>
        </w:rPr>
        <w:t> </w:t>
      </w:r>
      <w:r>
        <w:rPr>
          <w:rFonts w:ascii="Times New Roman" w:hAnsi="Times New Roman"/>
          <w:b w:val="false"/>
          <w:i/>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It is binding on the department of workforce development and the petitioner, and any intervenors who consent to be bound and is applicable only in circumstances where the relevant facts and the law involved are indistinguishable from those on which the order was based. As to all other persons, a declaratory order serves only as precedent and is not binding on the department of workforce development. The issuance of a declaratory order constitutes final agency action on the petition. The administrative rules committee of the workforce development board will be advised of the disposition of all declaratory orders.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and Iowa Code chapter </w:t>
      </w:r>
      <w:hyperlink r:id="rId11">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10/28/75, Notice 9/22/75—published 11/17/75, effective 12/23/75]</w:t>
      </w:r>
    </w:p>
    <w:p>
      <w:pPr>
        <w:spacing w:before="0" w:after="0"/>
        <w:ind w:left="120"/>
        <w:jc w:val="center"/>
      </w:pPr>
      <w:r>
        <w:rPr>
          <w:rFonts w:ascii="Times New Roman" w:hAnsi="Times New Roman"/>
          <w:b w:val="false"/>
          <w:i w:val="false"/>
          <w:color w:val="000000"/>
          <w:sz w:val="21"/>
        </w:rPr>
        <w:t>[Filed 4/29/76, Notice 3/22/76—published 5/17/76, effective 6/21/76]</w:t>
      </w:r>
    </w:p>
    <w:p>
      <w:pPr>
        <w:spacing w:before="0" w:after="0"/>
        <w:ind w:left="120"/>
        <w:jc w:val="center"/>
      </w:pPr>
      <w:r>
        <w:rPr>
          <w:rFonts w:ascii="Times New Roman" w:hAnsi="Times New Roman"/>
          <w:b w:val="false"/>
          <w:i w:val="false"/>
          <w:color w:val="000000"/>
          <w:sz w:val="21"/>
        </w:rPr>
        <w:t>[Filed 12/9/76, Notice 11/3/76—published 12/29/76, effective 2/2/77]</w:t>
      </w:r>
    </w:p>
    <w:p>
      <w:pPr>
        <w:spacing w:before="0" w:after="0"/>
        <w:ind w:left="120"/>
        <w:jc w:val="center"/>
      </w:pPr>
      <w:r>
        <w:rPr>
          <w:rFonts w:ascii="Times New Roman" w:hAnsi="Times New Roman"/>
          <w:b w:val="false"/>
          <w:i w:val="false"/>
          <w:color w:val="000000"/>
          <w:sz w:val="21"/>
        </w:rPr>
        <w:t>[Filed 9/30/77, Notice 8/24/77—published 10/19/77, effective 11/23/77]</w:t>
      </w:r>
    </w:p>
    <w:p>
      <w:pPr>
        <w:spacing w:before="0" w:after="0"/>
        <w:ind w:left="120"/>
        <w:jc w:val="center"/>
      </w:pPr>
      <w:r>
        <w:rPr>
          <w:rFonts w:ascii="Times New Roman" w:hAnsi="Times New Roman"/>
          <w:b w:val="false"/>
          <w:i w:val="false"/>
          <w:color w:val="000000"/>
          <w:sz w:val="21"/>
        </w:rPr>
        <w:t>[Filed emergency 9/5/86—published 9/24/86, effective 9/5/86]</w:t>
      </w:r>
    </w:p>
    <w:p>
      <w:pPr>
        <w:spacing w:before="0" w:after="0"/>
        <w:ind w:left="120"/>
        <w:jc w:val="center"/>
      </w:pPr>
      <w:r>
        <w:rPr>
          <w:rFonts w:ascii="Times New Roman" w:hAnsi="Times New Roman"/>
          <w:b w:val="false"/>
          <w:i w:val="false"/>
          <w:color w:val="000000"/>
          <w:sz w:val="21"/>
        </w:rPr>
        <w:t>[Filed emergency 10/1/86—published 10/22/86, effective 10/1/86]</w:t>
      </w:r>
    </w:p>
    <w:p>
      <w:pPr>
        <w:spacing w:before="0" w:after="0"/>
        <w:ind w:left="120"/>
        <w:jc w:val="center"/>
      </w:pPr>
      <w:r>
        <w:rPr>
          <w:rFonts w:ascii="Times New Roman" w:hAnsi="Times New Roman"/>
          <w:b w:val="false"/>
          <w:i w:val="false"/>
          <w:color w:val="000000"/>
          <w:sz w:val="21"/>
        </w:rPr>
        <w:t>[Filed 12/8/86, Notice 10/22/86—published 12/31/86, effective 2/4/87]</w:t>
      </w:r>
    </w:p>
    <w:p>
      <w:pPr>
        <w:spacing w:before="0" w:after="0"/>
        <w:ind w:left="120"/>
        <w:jc w:val="center"/>
      </w:pPr>
      <w:r>
        <w:rPr>
          <w:rFonts w:ascii="Times New Roman" w:hAnsi="Times New Roman"/>
          <w:b w:val="false"/>
          <w:i w:val="false"/>
          <w:color w:val="000000"/>
          <w:sz w:val="21"/>
        </w:rPr>
        <w:t>[Filed 5/22/92, Notice 4/15/92—published 6/10/92, effective 7/15/92]</w:t>
      </w:r>
    </w:p>
    <w:p>
      <w:pPr>
        <w:spacing w:before="0" w:after="0"/>
        <w:ind w:left="120"/>
        <w:jc w:val="center"/>
      </w:pPr>
      <w:r>
        <w:rPr>
          <w:rFonts w:ascii="Times New Roman" w:hAnsi="Times New Roman"/>
          <w:b w:val="false"/>
          <w:i w:val="false"/>
          <w:color w:val="000000"/>
          <w:sz w:val="21"/>
        </w:rPr>
        <w:t>[Filed 4/28/97, Notice 2/26/97—published 5/21/97, effective 6/25/97]</w:t>
      </w:r>
    </w:p>
    <w:p>
      <w:pPr>
        <w:spacing w:before="0" w:after="0"/>
        <w:ind w:left="120"/>
        <w:jc w:val="center"/>
      </w:pPr>
      <w:r>
        <w:rPr>
          <w:rFonts w:ascii="Times New Roman" w:hAnsi="Times New Roman"/>
          <w:b w:val="false"/>
          <w:i w:val="false"/>
          <w:color w:val="000000"/>
          <w:sz w:val="21"/>
        </w:rPr>
        <w:t>[Filed 4/29/99, Notice 3/10/99—published 5/19/99, effective 6/23/99]</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877.26.1.pdf" Type="http://schemas.openxmlformats.org/officeDocument/2006/relationships/hyperlink" Id="rId5"/>
    <Relationship TargetMode="External" Target="https://www.legis.iowa.gov/docs/ico/chapter/17A.7.pdf" Type="http://schemas.openxmlformats.org/officeDocument/2006/relationships/hyperlink" Id="rId6"/>
    <Relationship TargetMode="External" Target="https://www.legis.iowa.gov/docs/ico/chapter/96.pdf" Type="http://schemas.openxmlformats.org/officeDocument/2006/relationships/hyperlink" Id="rId7"/>
    <Relationship TargetMode="External" Target="https://www.legis.iowa.gov/docs/iac/rule/877.26.2.pdf" Type="http://schemas.openxmlformats.org/officeDocument/2006/relationships/hyperlink" Id="rId8"/>
    <Relationship TargetMode="External" Target="https://www.legis.iowa.gov/docs/iac/rule/877.26.2.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96.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