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w:t>
      </w:r>
    </w:p>
    <w:p>
      <w:pPr>
        <w:spacing w:before="0" w:after="0"/>
        <w:ind w:left="120"/>
        <w:jc w:val="center"/>
      </w:pPr>
      <w:r>
        <w:rPr>
          <w:rFonts w:ascii="Times New Roman" w:hAnsi="Times New Roman"/>
          <w:b w:val="false"/>
          <w:i w:val="false"/>
          <w:color w:val="000000"/>
          <w:sz w:val="21"/>
        </w:rPr>
        <w:t>APPRENTICESHIP TRAINING PROGRAM</w:t>
      </w:r>
    </w:p>
    <w:p>
      <w:pPr>
        <w:spacing w:before="0" w:after="0"/>
        <w:ind w:left="120"/>
        <w:jc w:val="center"/>
      </w:pPr>
      <w:r>
        <w:rPr>
          <w:rFonts w:ascii="Times New Roman" w:hAnsi="Times New Roman"/>
          <w:b w:val="false"/>
          <w:i w:val="false"/>
          <w:color w:val="000000"/>
          <w:sz w:val="14"/>
        </w:rPr>
        <w:t>[Prior to 10/18/23, see Economic Development Authority[261] Ch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877—19.1</w:t>
      </w:r>
      <w:r>
        <w:rPr>
          <w:rFonts w:ascii="Times New Roman" w:hAnsi="Times New Roman"/>
          <w:b/>
          <w:i w:val="false"/>
          <w:color w:val="000000"/>
          <w:sz w:val="22"/>
        </w:rPr>
        <w:t xml:space="preserve">(15,15B) </w:t>
      </w:r>
      <w:r>
        <w:rPr>
          <w:rFonts w:ascii="Times New Roman" w:hAnsi="Times New Roman"/>
          <w:b/>
          <w:i w:val="false"/>
          <w:color w:val="000000"/>
          <w:sz w:val="22"/>
        </w:rPr>
        <w:t xml:space="preserve">Authority. </w:t>
      </w:r>
      <w:r>
        <w:rPr>
          <w:rFonts w:ascii="Times New Roman" w:hAnsi="Times New Roman"/>
          <w:b w:val="false"/>
          <w:i w:val="false"/>
          <w:color w:val="000000"/>
          <w:sz w:val="22"/>
        </w:rPr>
        <w:t>The authority for adopting rules establishing an apprenticeship training program is provided in Iowa Code section 84A.5(7)</w:t>
      </w:r>
      <w:r>
        <w:rPr>
          <w:rFonts w:ascii="Times New Roman" w:hAnsi="Times New Roman"/>
          <w:b w:val="false"/>
          <w:i/>
          <w:color w:val="000000"/>
          <w:sz w:val="22"/>
        </w:rPr>
        <w:t>“l”</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2023 Iowa Acts, Senate File 514</w:t>
      </w:r>
      <w:r>
        <w:rPr>
          <w:rFonts w:ascii="Times New Roman" w:hAnsi="Times New Roman"/>
          <w:b w:val="false"/>
          <w:i w:val="false"/>
          <w:color w:val="000000"/>
          <w:sz w:val="22"/>
        </w:rPr>
        <w:t xml:space="preserve">, section 2193; and Iowa Code chapter 84E as transferred by </w:t>
      </w:r>
      <w:r>
        <w:rPr>
          <w:rFonts w:ascii="Times New Roman" w:hAnsi="Times New Roman"/>
          <w:b w:val="false"/>
          <w:i w:val="false"/>
          <w:color w:val="000000"/>
          <w:sz w:val="22"/>
        </w:rPr>
        <w:t>2023 Iowa Acts, Senate File 514</w:t>
      </w:r>
      <w:r>
        <w:rPr>
          <w:rFonts w:ascii="Times New Roman" w:hAnsi="Times New Roman"/>
          <w:b w:val="false"/>
          <w:i w:val="false"/>
          <w:color w:val="000000"/>
          <w:sz w:val="22"/>
        </w:rPr>
        <w:t>, and editorially codified.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1826C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877—19.2</w:t>
      </w:r>
      <w:r>
        <w:rPr>
          <w:rFonts w:ascii="Times New Roman" w:hAnsi="Times New Roman"/>
          <w:b/>
          <w:i w:val="false"/>
          <w:color w:val="000000"/>
          <w:sz w:val="22"/>
        </w:rPr>
        <w:t xml:space="preserve">(15,15B)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apprenticeship training program is to assist eligible apprenticeship programs by providing financial assistance in the form of training grants.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1826C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877—19.3</w:t>
      </w:r>
      <w:r>
        <w:rPr>
          <w:rFonts w:ascii="Times New Roman" w:hAnsi="Times New Roman"/>
          <w:b/>
          <w:i w:val="false"/>
          <w:color w:val="000000"/>
          <w:sz w:val="22"/>
        </w:rPr>
        <w:t xml:space="preserve">(15,15B)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 </w:t>
      </w:r>
      <w:r>
        <w:rPr>
          <w:rFonts w:ascii="Times New Roman" w:hAnsi="Times New Roman"/>
          <w:b w:val="false"/>
          <w:i w:val="false"/>
          <w:color w:val="000000"/>
          <w:sz w:val="22"/>
        </w:rPr>
        <w:t>means a person who is at least 16 years of age, except where a higher minimum age is required by law, who is employed in an apprenticeable occupation, and is registered in Iowa with the U.S. Department of Labor, Office of Apprenticeship.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“Apprenticeable occupation” </w:t>
      </w:r>
      <w:r>
        <w:rPr>
          <w:rFonts w:ascii="Times New Roman" w:hAnsi="Times New Roman"/>
          <w:b w:val="false"/>
          <w:i w:val="false"/>
          <w:color w:val="000000"/>
          <w:sz w:val="22"/>
        </w:rPr>
        <w:t>means an occupation approved for apprenticeship by the U.S. Department of Labor, Office of Apprenticeship.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“Apprenticeship program” </w:t>
      </w:r>
      <w:r>
        <w:rPr>
          <w:rFonts w:ascii="Times New Roman" w:hAnsi="Times New Roman"/>
          <w:b w:val="false"/>
          <w:i w:val="false"/>
          <w:color w:val="000000"/>
          <w:sz w:val="22"/>
        </w:rPr>
        <w:t>means a program registered with the U.S. Department of Labor, Office of Apprenticeship, which includes terms and conditions for the qualification, recruitment, selection, employment, and training of apprentices, including the requirement for a written apprenticeship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“Apprenticeship sponsor” </w:t>
      </w:r>
      <w:r>
        <w:rPr>
          <w:rFonts w:ascii="Times New Roman" w:hAnsi="Times New Roman"/>
          <w:b w:val="false"/>
          <w:i w:val="false"/>
          <w:color w:val="000000"/>
          <w:sz w:val="22"/>
        </w:rPr>
        <w:t>means an entity operating an apprenticeship program or an entity in whose name an apprenticeship program is being operated, which is registered with or approved by the U.S. Department of Labor, Office of Apprenticeship.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department of workforce development created in Iowa Code section </w:t>
      </w:r>
      <w:hyperlink r:id="rId5">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 xml:space="preserve"> (Iowa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“Contact hours” </w:t>
      </w:r>
      <w:r>
        <w:rPr>
          <w:rFonts w:ascii="Times New Roman" w:hAnsi="Times New Roman"/>
          <w:b w:val="false"/>
          <w:i w:val="false"/>
          <w:color w:val="000000"/>
          <w:sz w:val="22"/>
        </w:rPr>
        <w:t>means the number of hours of in-person instruction received by an apprentice participating in an apprenticeship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means assistance provided only from the funds, rights, and assets legally available to the authority and includes but is not limited to assistance in the forms of grants, loans, forgivable loans, and royalty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“Fund” </w:t>
      </w:r>
      <w:r>
        <w:rPr>
          <w:rFonts w:ascii="Times New Roman" w:hAnsi="Times New Roman"/>
          <w:b w:val="false"/>
          <w:i w:val="false"/>
          <w:color w:val="000000"/>
          <w:sz w:val="22"/>
        </w:rPr>
        <w:t xml:space="preserve">means the apprenticeship training program fund created in Iowa Code section </w:t>
      </w:r>
      <w:hyperlink r:id="rId6">
        <w:r>
          <w:rPr>
            <w:rStyle w:val="Hyperlink"/>
            <w:rFonts w:ascii="Times New Roman" w:hAnsi="Times New Roman"/>
            <w:b w:val="false"/>
            <w:i w:val="false"/>
            <w:color w:val="000000"/>
            <w:sz w:val="22"/>
          </w:rPr>
          <w:t>15B.3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 apprenticeship sponsor” </w:t>
      </w:r>
      <w:r>
        <w:rPr>
          <w:rFonts w:ascii="Times New Roman" w:hAnsi="Times New Roman"/>
          <w:b w:val="false"/>
          <w:i w:val="false"/>
          <w:color w:val="000000"/>
          <w:sz w:val="22"/>
        </w:rPr>
        <w:t>means a trade organization, labor organization, employer association, or other incorporated entity representing a group of apprenticeship sponsors.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apprenticeship training program established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instructional hours” </w:t>
      </w:r>
      <w:r>
        <w:rPr>
          <w:rFonts w:ascii="Times New Roman" w:hAnsi="Times New Roman"/>
          <w:b w:val="false"/>
          <w:i w:val="false"/>
          <w:color w:val="000000"/>
          <w:sz w:val="22"/>
        </w:rPr>
        <w:t>means the total instructional hours reported by an apprenticeship sponsor or lead apprenticeship sponsor. “Total instructional hours” does not mean the minimum federal standard for instructional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year” </w:t>
      </w:r>
      <w:r>
        <w:rPr>
          <w:rFonts w:ascii="Times New Roman" w:hAnsi="Times New Roman"/>
          <w:b w:val="false"/>
          <w:i w:val="false"/>
          <w:color w:val="000000"/>
          <w:sz w:val="22"/>
        </w:rPr>
        <w:t>means the most recent calendar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1826C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5970C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877—19.4</w:t>
      </w:r>
      <w:r>
        <w:rPr>
          <w:rFonts w:ascii="Times New Roman" w:hAnsi="Times New Roman"/>
          <w:b/>
          <w:i w:val="false"/>
          <w:color w:val="000000"/>
          <w:sz w:val="22"/>
        </w:rPr>
        <w:t xml:space="preserve">(15,15B) </w:t>
      </w:r>
      <w:r>
        <w:rPr>
          <w:rFonts w:ascii="Times New Roman" w:hAnsi="Times New Roman"/>
          <w:b/>
          <w:i w:val="false"/>
          <w:color w:val="000000"/>
          <w:sz w:val="22"/>
        </w:rPr>
        <w:t xml:space="preserve">Annual appropriations—amount of assistance available—standard contract—use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provide financial assistance under the program from moneys appropriated for purposes of the program pursuant to Iowa Code section </w:t>
      </w:r>
      <w:hyperlink r:id="rId7">
        <w:r>
          <w:rPr>
            <w:rStyle w:val="Hyperlink"/>
            <w:rFonts w:ascii="Times New Roman" w:hAnsi="Times New Roman"/>
            <w:b w:val="false"/>
            <w:i w:val="false"/>
            <w:color w:val="000000"/>
            <w:sz w:val="22"/>
          </w:rPr>
          <w:t>15.342A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amount of assistance available for a fiscal year will be the amount authorized by law as described in subrule </w:t>
      </w:r>
      <w:hyperlink r:id="rId8">
        <w:r>
          <w:rPr>
            <w:rStyle w:val="Hyperlink"/>
            <w:rFonts w:ascii="Times New Roman" w:hAnsi="Times New Roman"/>
            <w:b w:val="false"/>
            <w:i w:val="false"/>
            <w:color w:val="000000"/>
            <w:sz w:val="22"/>
          </w:rPr>
          <w:t>12.4(1)</w:t>
        </w:r>
      </w:hyperlink>
      <w:r>
        <w:rPr>
          <w:rFonts w:ascii="Times New Roman" w:hAnsi="Times New Roman"/>
          <w:b w:val="false"/>
          <w:i w:val="false"/>
          <w:color w:val="000000"/>
          <w:sz w:val="22"/>
        </w:rPr>
        <w:t xml:space="preserve"> less an amount equal to 2 percent of the moneys in the fund appropriated to the authority for administrative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disburse funds to an apprenticeship sponsor or lead apprenticeship sponsor only after approval of a completed application and execution of a contract between the apprenticeship sponsor or lead sponsor and the authority. The authority shall have sole discretion in determining whether an applicant has provided all necessary information as required under this chapter. The authority will prepare a standard contract for the program to be executed by each eligible applicant. Each executed contract will provide for an amount of financial assistance in the form of a training grant as determined pursuant to rule </w:t>
      </w:r>
      <w:hyperlink r:id="rId9">
        <w:r>
          <w:rPr>
            <w:rStyle w:val="Hyperlink"/>
            <w:rFonts w:ascii="Times New Roman" w:hAnsi="Times New Roman"/>
            <w:b w:val="false"/>
            <w:i w:val="false"/>
            <w:color w:val="000000"/>
            <w:sz w:val="22"/>
          </w:rPr>
          <w:t>261—12.6</w:t>
        </w:r>
      </w:hyperlink>
      <w:r>
        <w:rPr>
          <w:rFonts w:ascii="Times New Roman" w:hAnsi="Times New Roman"/>
          <w:b w:val="false"/>
          <w:i w:val="false"/>
          <w:color w:val="000000"/>
          <w:sz w:val="22"/>
        </w:rPr>
        <w:t xml:space="preserve">(15,15B). All changes or amendments to the standard contract shall be at the authority’s sole discretion. All such changes shall be consistent with the requirements of Iowa Code chapter </w:t>
      </w:r>
      <w:hyperlink r:id="rId10">
        <w:r>
          <w:rPr>
            <w:rStyle w:val="Hyperlink"/>
            <w:rFonts w:ascii="Times New Roman" w:hAnsi="Times New Roman"/>
            <w:b w:val="false"/>
            <w:i w:val="false"/>
            <w:color w:val="000000"/>
            <w:sz w:val="22"/>
          </w:rPr>
          <w:t>15B</w:t>
        </w:r>
      </w:hyperlink>
      <w:r>
        <w:rPr>
          <w:rFonts w:ascii="Times New Roman" w:hAnsi="Times New Roman"/>
          <w:b w:val="false"/>
          <w:i w:val="false"/>
          <w:color w:val="000000"/>
          <w:sz w:val="22"/>
        </w:rPr>
        <w:t xml:space="preserve"> and of this chapter. The authority will notify apprenticeship sponsors and lead apprenticeship sponsors by the end of a calendar year of any standard contract changes for the upcoming application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19.4(4)</w:t>
      </w:r>
      <w:r>
        <w:rPr>
          <w:rFonts w:ascii="Times New Roman" w:hAnsi="Times New Roman"/>
          <w:b w:val="false"/>
          <w:i w:val="false"/>
          <w:color w:val="000000"/>
          <w:sz w:val="22"/>
        </w:rPr>
        <w:t> </w:t>
      </w:r>
      <w:r>
        <w:rPr>
          <w:rFonts w:ascii="Times New Roman" w:hAnsi="Times New Roman"/>
          <w:b w:val="false"/>
          <w:i w:val="false"/>
          <w:color w:val="000000"/>
          <w:sz w:val="22"/>
        </w:rPr>
        <w:t>Financial assistance received by an apprenticeship sponsor or lead apprenticeship sponsor under this rule shall be used only for the cost of conducting and maintaining an apprenticeship program. The authority may require an apprenticeship sponsor or lead apprenticeship sponsor to provide any information reasonably necessary to verify the use of program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1826C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5970C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877—19.5</w:t>
      </w:r>
      <w:r>
        <w:rPr>
          <w:rFonts w:ascii="Times New Roman" w:hAnsi="Times New Roman"/>
          <w:b/>
          <w:i w:val="false"/>
          <w:color w:val="000000"/>
          <w:sz w:val="22"/>
        </w:rPr>
        <w:t xml:space="preserve">(15,15B) </w:t>
      </w:r>
      <w:r>
        <w:rPr>
          <w:rFonts w:ascii="Times New Roman" w:hAnsi="Times New Roman"/>
          <w:b/>
          <w:i w:val="false"/>
          <w:color w:val="000000"/>
          <w:sz w:val="22"/>
        </w:rPr>
        <w:t xml:space="preserve">Eligibility for assistance. </w:t>
      </w:r>
      <w:r>
        <w:rPr>
          <w:rFonts w:ascii="Times New Roman" w:hAnsi="Times New Roman"/>
          <w:b w:val="false"/>
          <w:i w:val="false"/>
          <w:color w:val="000000"/>
          <w:sz w:val="22"/>
        </w:rPr>
        <w:t>An eligible apprenticeship sponsor or lead apprenticeship sponsor may apply to the authority for assistance under the program. To be eligible, an applicant must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w:t>
      </w:r>
      <w:r>
        <w:rPr>
          <w:rFonts w:ascii="Times New Roman" w:hAnsi="Times New Roman"/>
          <w:b w:val="false"/>
          <w:i w:val="false"/>
          <w:color w:val="000000"/>
          <w:sz w:val="22"/>
        </w:rPr>
        <w:t> </w:t>
      </w:r>
      <w:r>
        <w:rPr>
          <w:rFonts w:ascii="Times New Roman" w:hAnsi="Times New Roman"/>
          <w:b w:val="false"/>
          <w:i w:val="false"/>
          <w:color w:val="000000"/>
          <w:sz w:val="22"/>
        </w:rPr>
        <w:t>The applicant is an apprenticeship sponsor, or a lead apprenticeship sponsor, that conducts an apprenticeship program that is registered with the U.S. Department of Labor, Office of Apprenticeship, through Iowa, for apprentices who will be employed at worksites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19.5(2)</w:t>
      </w:r>
      <w:r>
        <w:rPr>
          <w:rFonts w:ascii="Times New Roman" w:hAnsi="Times New Roman"/>
          <w:b w:val="false"/>
          <w:i w:val="false"/>
          <w:color w:val="000000"/>
          <w:sz w:val="22"/>
        </w:rPr>
        <w:t> </w:t>
      </w:r>
      <w:r>
        <w:rPr>
          <w:rFonts w:ascii="Times New Roman" w:hAnsi="Times New Roman"/>
          <w:b w:val="false"/>
          <w:i w:val="false"/>
          <w:color w:val="000000"/>
          <w:sz w:val="22"/>
        </w:rPr>
        <w:t>The applicant conducts an apprenticeship program that includes a minimum of 100 contact hours per apprentice for each training year of the apprenticeship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19.5(3)</w:t>
      </w:r>
      <w:r>
        <w:rPr>
          <w:rFonts w:ascii="Times New Roman" w:hAnsi="Times New Roman"/>
          <w:b w:val="false"/>
          <w:i w:val="false"/>
          <w:color w:val="000000"/>
          <w:sz w:val="22"/>
        </w:rPr>
        <w:t> </w:t>
      </w:r>
      <w:r>
        <w:rPr>
          <w:rFonts w:ascii="Times New Roman" w:hAnsi="Times New Roman"/>
          <w:b w:val="false"/>
          <w:i w:val="false"/>
          <w:color w:val="000000"/>
          <w:sz w:val="22"/>
        </w:rPr>
        <w:t>The applicant provides all of the following information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federal apprentice registration number of each apprentice in the apprenticeship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address and a description of the physical location where in-person training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certification of the apprenticeship sponsor’s training standards as most recently approved by the U.S. Department of Labor, Office of Apprenticeship, or, in the case of a lead apprenticeship sponsor, a representative sample of participating members’ training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certification of the apprenticeship sponsor’s compliance review or quality assessment as most recently conducted by the U.S. Department of Labor, Office of Apprenticeship, unless the apprenticeship sponsor has not been subjected to a compliance review or quality assessment. In the case of a lead apprenticeship sponsor, a sampling of compliance reviews or quality assessments from participating members will be sufficient.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information the authority reasonably determines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apply on or before February 1 of each year in which funding is available. The application submitted by the applicant should reflect program information from the prior training year. Because all applications to the program must be received in order to determine the amount of financial assistance available under rule </w:t>
      </w:r>
      <w:hyperlink r:id="rId11">
        <w:r>
          <w:rPr>
            <w:rStyle w:val="Hyperlink"/>
            <w:rFonts w:ascii="Times New Roman" w:hAnsi="Times New Roman"/>
            <w:b w:val="false"/>
            <w:i w:val="false"/>
            <w:color w:val="000000"/>
            <w:sz w:val="22"/>
          </w:rPr>
          <w:t>261—12.6</w:t>
        </w:r>
      </w:hyperlink>
      <w:r>
        <w:rPr>
          <w:rFonts w:ascii="Times New Roman" w:hAnsi="Times New Roman"/>
          <w:b w:val="false"/>
          <w:i w:val="false"/>
          <w:color w:val="000000"/>
          <w:sz w:val="22"/>
        </w:rPr>
        <w:t>(15,15B), the authority will not accept applications on a continuous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apprenticeship sponsor receiving financial assistance under Iowa Code chapter </w:t>
      </w:r>
      <w:hyperlink r:id="rId12">
        <w:r>
          <w:rPr>
            <w:rStyle w:val="Hyperlink"/>
            <w:rFonts w:ascii="Times New Roman" w:hAnsi="Times New Roman"/>
            <w:b w:val="false"/>
            <w:i w:val="false"/>
            <w:color w:val="000000"/>
            <w:sz w:val="22"/>
          </w:rPr>
          <w:t>15C</w:t>
        </w:r>
      </w:hyperlink>
      <w:r>
        <w:rPr>
          <w:rFonts w:ascii="Times New Roman" w:hAnsi="Times New Roman"/>
          <w:b w:val="false"/>
          <w:i w:val="false"/>
          <w:color w:val="000000"/>
          <w:sz w:val="22"/>
        </w:rPr>
        <w:t xml:space="preserve"> is ineligible for financial assistance under this chapter during the same fiscal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1826C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5480C</w:t>
      </w:r>
      <w:r>
        <w:rPr>
          <w:rFonts w:ascii="Times New Roman" w:hAnsi="Times New Roman"/>
          <w:b w:val="false"/>
          <w:i w:val="false"/>
          <w:color w:val="000000"/>
          <w:sz w:val="16"/>
        </w:rPr>
        <w:t>, IAB 2/24/21, effective 3/31/21</w:t>
      </w:r>
      <w:r>
        <w:rPr>
          <w:rFonts w:ascii="Times New Roman" w:hAnsi="Times New Roman"/>
          <w:b w:val="false"/>
          <w:i w:val="false"/>
          <w:color w:val="000000"/>
          <w:sz w:val="16"/>
        </w:rPr>
        <w:t xml:space="preserve">; </w:t>
      </w:r>
      <w:r>
        <w:rPr>
          <w:rFonts w:ascii="Times New Roman" w:hAnsi="Times New Roman"/>
          <w:b/>
          <w:i w:val="false"/>
          <w:color w:val="000000"/>
          <w:sz w:val="16"/>
        </w:rPr>
        <w:t>ARC 5970C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877—19.6</w:t>
      </w:r>
      <w:r>
        <w:rPr>
          <w:rFonts w:ascii="Times New Roman" w:hAnsi="Times New Roman"/>
          <w:b/>
          <w:i w:val="false"/>
          <w:color w:val="000000"/>
          <w:sz w:val="22"/>
        </w:rPr>
        <w:t xml:space="preserve">(15,15B) </w:t>
      </w:r>
      <w:r>
        <w:rPr>
          <w:rFonts w:ascii="Times New Roman" w:hAnsi="Times New Roman"/>
          <w:b/>
          <w:i w:val="false"/>
          <w:color w:val="000000"/>
          <w:sz w:val="22"/>
        </w:rPr>
        <w:t xml:space="preserve">Determination of financial assistance grants. </w:t>
      </w:r>
      <w:r>
        <w:rPr>
          <w:rFonts w:ascii="Times New Roman" w:hAnsi="Times New Roman"/>
          <w:b w:val="false"/>
          <w:i w:val="false"/>
          <w:color w:val="000000"/>
          <w:sz w:val="22"/>
        </w:rPr>
        <w:t>The authority will provide financial assistance in the form of training grants to eligible apprenticeship sponsors or lead apprenticeship sponsors. The maximum amount of financial assistance provided to an eligible apprenticeship sponsor or lead apprenticeship sponsor will be calculated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19.6(1)</w:t>
      </w:r>
      <w:r>
        <w:rPr>
          <w:rFonts w:ascii="Times New Roman" w:hAnsi="Times New Roman"/>
          <w:b w:val="false"/>
          <w:i w:val="false"/>
          <w:color w:val="000000"/>
          <w:sz w:val="22"/>
        </w:rPr>
        <w:t> </w:t>
      </w:r>
      <w:r>
        <w:rPr>
          <w:rFonts w:ascii="Times New Roman" w:hAnsi="Times New Roman"/>
          <w:b w:val="false"/>
          <w:i w:val="false"/>
          <w:color w:val="000000"/>
          <w:sz w:val="22"/>
        </w:rPr>
        <w:t xml:space="preserve">By determining the total amount of funding allocated for purposes of training grants for apprenticeship programs as described in rule </w:t>
      </w:r>
      <w:hyperlink r:id="rId13">
        <w:r>
          <w:rPr>
            <w:rStyle w:val="Hyperlink"/>
            <w:rFonts w:ascii="Times New Roman" w:hAnsi="Times New Roman"/>
            <w:b w:val="false"/>
            <w:i w:val="false"/>
            <w:color w:val="000000"/>
            <w:sz w:val="22"/>
          </w:rPr>
          <w:t>261—12.4</w:t>
        </w:r>
      </w:hyperlink>
      <w:r>
        <w:rPr>
          <w:rFonts w:ascii="Times New Roman" w:hAnsi="Times New Roman"/>
          <w:b w:val="false"/>
          <w:i w:val="false"/>
          <w:color w:val="000000"/>
          <w:sz w:val="22"/>
        </w:rPr>
        <w:t>(15,15B).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19.6(2)</w:t>
      </w:r>
      <w:r>
        <w:rPr>
          <w:rFonts w:ascii="Times New Roman" w:hAnsi="Times New Roman"/>
          <w:b w:val="false"/>
          <w:i w:val="false"/>
          <w:color w:val="000000"/>
          <w:sz w:val="22"/>
        </w:rPr>
        <w:t> </w:t>
      </w:r>
      <w:r>
        <w:rPr>
          <w:rFonts w:ascii="Times New Roman" w:hAnsi="Times New Roman"/>
          <w:b w:val="false"/>
          <w:i w:val="false"/>
          <w:color w:val="000000"/>
          <w:sz w:val="22"/>
        </w:rPr>
        <w:t xml:space="preserve">By determining the total number of apprentices trained during the most recent training year, as calculated on the last day of the training year, in all apprenticeship programs conducted by all applying apprenticeship sponsors or lead apprenticeship sponsors eligible to apply for financial assistance under rule </w:t>
      </w:r>
      <w:hyperlink r:id="rId14">
        <w:r>
          <w:rPr>
            <w:rStyle w:val="Hyperlink"/>
            <w:rFonts w:ascii="Times New Roman" w:hAnsi="Times New Roman"/>
            <w:b w:val="false"/>
            <w:i w:val="false"/>
            <w:color w:val="000000"/>
            <w:sz w:val="22"/>
          </w:rPr>
          <w:t>261—12.5</w:t>
        </w:r>
      </w:hyperlink>
      <w:r>
        <w:rPr>
          <w:rFonts w:ascii="Times New Roman" w:hAnsi="Times New Roman"/>
          <w:b w:val="false"/>
          <w:i w:val="false"/>
          <w:color w:val="000000"/>
          <w:sz w:val="22"/>
        </w:rPr>
        <w:t>(15,15B).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19.6(3)</w:t>
      </w:r>
      <w:r>
        <w:rPr>
          <w:rFonts w:ascii="Times New Roman" w:hAnsi="Times New Roman"/>
          <w:b w:val="false"/>
          <w:i w:val="false"/>
          <w:color w:val="000000"/>
          <w:sz w:val="22"/>
        </w:rPr>
        <w:t> </w:t>
      </w:r>
      <w:r>
        <w:rPr>
          <w:rFonts w:ascii="Times New Roman" w:hAnsi="Times New Roman"/>
          <w:b w:val="false"/>
          <w:i w:val="false"/>
          <w:color w:val="000000"/>
          <w:sz w:val="22"/>
        </w:rPr>
        <w:t xml:space="preserve">By determining the total number of apprentices trained during the training year, as calculated on the last day of the training year, in each apprenticeship program conducted by each applying apprenticeship sponsor or lead apprenticeship sponsor eligible to apply and that applied for financial assistance under rule </w:t>
      </w:r>
      <w:hyperlink r:id="rId15">
        <w:r>
          <w:rPr>
            <w:rStyle w:val="Hyperlink"/>
            <w:rFonts w:ascii="Times New Roman" w:hAnsi="Times New Roman"/>
            <w:b w:val="false"/>
            <w:i w:val="false"/>
            <w:color w:val="000000"/>
            <w:sz w:val="22"/>
          </w:rPr>
          <w:t>261—12.5</w:t>
        </w:r>
      </w:hyperlink>
      <w:r>
        <w:rPr>
          <w:rFonts w:ascii="Times New Roman" w:hAnsi="Times New Roman"/>
          <w:b w:val="false"/>
          <w:i w:val="false"/>
          <w:color w:val="000000"/>
          <w:sz w:val="22"/>
        </w:rPr>
        <w:t>(15,15B).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19.6(4)</w:t>
      </w:r>
      <w:r>
        <w:rPr>
          <w:rFonts w:ascii="Times New Roman" w:hAnsi="Times New Roman"/>
          <w:b w:val="false"/>
          <w:i w:val="false"/>
          <w:color w:val="000000"/>
          <w:sz w:val="22"/>
        </w:rPr>
        <w:t> </w:t>
      </w:r>
      <w:r>
        <w:rPr>
          <w:rFonts w:ascii="Times New Roman" w:hAnsi="Times New Roman"/>
          <w:b w:val="false"/>
          <w:i w:val="false"/>
          <w:color w:val="000000"/>
          <w:sz w:val="22"/>
        </w:rPr>
        <w:t xml:space="preserve">By determining the proportion, stated as a percentage, that each applying apprenticeship sponsor’s or lead apprenticeship sponsor’s total calculated pursuant to subrule </w:t>
      </w:r>
      <w:hyperlink r:id="rId16">
        <w:r>
          <w:rPr>
            <w:rStyle w:val="Hyperlink"/>
            <w:rFonts w:ascii="Times New Roman" w:hAnsi="Times New Roman"/>
            <w:b w:val="false"/>
            <w:i w:val="false"/>
            <w:color w:val="000000"/>
            <w:sz w:val="22"/>
          </w:rPr>
          <w:t>12.6(3)</w:t>
        </w:r>
      </w:hyperlink>
      <w:r>
        <w:rPr>
          <w:rFonts w:ascii="Times New Roman" w:hAnsi="Times New Roman"/>
          <w:b w:val="false"/>
          <w:i w:val="false"/>
          <w:color w:val="000000"/>
          <w:sz w:val="22"/>
        </w:rPr>
        <w:t xml:space="preserve"> bears to all applying apprenticeship sponsors’ or lead apprenticeship sponsors’ total calculated pursuant to subrule </w:t>
      </w:r>
      <w:hyperlink r:id="rId17">
        <w:r>
          <w:rPr>
            <w:rStyle w:val="Hyperlink"/>
            <w:rFonts w:ascii="Times New Roman" w:hAnsi="Times New Roman"/>
            <w:b w:val="false"/>
            <w:i w:val="false"/>
            <w:color w:val="000000"/>
            <w:sz w:val="22"/>
          </w:rPr>
          <w:t>12.6(2)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19.6(5)</w:t>
      </w:r>
      <w:r>
        <w:rPr>
          <w:rFonts w:ascii="Times New Roman" w:hAnsi="Times New Roman"/>
          <w:b w:val="false"/>
          <w:i w:val="false"/>
          <w:color w:val="000000"/>
          <w:sz w:val="22"/>
        </w:rPr>
        <w:t> </w:t>
      </w:r>
      <w:r>
        <w:rPr>
          <w:rFonts w:ascii="Times New Roman" w:hAnsi="Times New Roman"/>
          <w:b w:val="false"/>
          <w:i w:val="false"/>
          <w:color w:val="000000"/>
          <w:sz w:val="22"/>
        </w:rPr>
        <w:t xml:space="preserve">By multiplying the percentage calculated in subrule </w:t>
      </w:r>
      <w:hyperlink r:id="rId18">
        <w:r>
          <w:rPr>
            <w:rStyle w:val="Hyperlink"/>
            <w:rFonts w:ascii="Times New Roman" w:hAnsi="Times New Roman"/>
            <w:b w:val="false"/>
            <w:i w:val="false"/>
            <w:color w:val="000000"/>
            <w:sz w:val="22"/>
          </w:rPr>
          <w:t>12.6(4</w:t>
        </w:r>
      </w:hyperlink>
      <w:r>
        <w:rPr>
          <w:rFonts w:ascii="Times New Roman" w:hAnsi="Times New Roman"/>
          <w:b w:val="false"/>
          <w:i w:val="false"/>
          <w:color w:val="000000"/>
          <w:sz w:val="22"/>
        </w:rPr>
        <w:t xml:space="preserve">) by the amount determined in subrule </w:t>
      </w:r>
      <w:hyperlink r:id="rId19">
        <w:r>
          <w:rPr>
            <w:rStyle w:val="Hyperlink"/>
            <w:rFonts w:ascii="Times New Roman" w:hAnsi="Times New Roman"/>
            <w:b w:val="false"/>
            <w:i w:val="false"/>
            <w:color w:val="000000"/>
            <w:sz w:val="22"/>
          </w:rPr>
          <w:t>12.6(1)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1826C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5970C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877—19.7</w:t>
      </w:r>
      <w:r>
        <w:rPr>
          <w:rFonts w:ascii="Times New Roman" w:hAnsi="Times New Roman"/>
          <w:b/>
          <w:i w:val="false"/>
          <w:color w:val="000000"/>
          <w:sz w:val="22"/>
        </w:rPr>
        <w:t xml:space="preserve">(15,15B) </w:t>
      </w:r>
      <w:r>
        <w:rPr>
          <w:rFonts w:ascii="Times New Roman" w:hAnsi="Times New Roman"/>
          <w:b/>
          <w:i w:val="false"/>
          <w:color w:val="000000"/>
          <w:sz w:val="22"/>
        </w:rPr>
        <w:t xml:space="preserve">Application submittal and 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develop a standardized application and make the application available to applicants. To apply for assistance under the program, an applicant shall submit an application to the authority. Required forms and instructions are available by contacting the authority or from the authority’s Internet site at </w:t>
      </w:r>
      <w:hyperlink r:id="rId20">
        <w:r>
          <w:rPr>
            <w:rStyle w:val="Hyperlink"/>
            <w:rFonts w:ascii="Times New Roman" w:hAnsi="Times New Roman"/>
            <w:b w:val="false"/>
            <w:i w:val="false"/>
            <w:color w:val="000000"/>
            <w:sz w:val="22"/>
            <w:u w:val="single"/>
          </w:rPr>
          <w:t>www.iowaeda.com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19.7(2)</w:t>
      </w:r>
      <w:r>
        <w:rPr>
          <w:rFonts w:ascii="Times New Roman" w:hAnsi="Times New Roman"/>
          <w:b w:val="false"/>
          <w:i w:val="false"/>
          <w:color w:val="000000"/>
          <w:sz w:val="22"/>
        </w:rPr>
        <w:t> </w:t>
      </w:r>
      <w:r>
        <w:rPr>
          <w:rFonts w:ascii="Times New Roman" w:hAnsi="Times New Roman"/>
          <w:b w:val="false"/>
          <w:i w:val="false"/>
          <w:color w:val="000000"/>
          <w:sz w:val="22"/>
        </w:rPr>
        <w:t>The director shall have final funding authority on applications for financial assistance under this program. Applications will be reviewed and processed for eligibility by the staff of the authority. The director of the authority will approve, defer or deny applications consistent with the requirements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1826C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5970C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877—19.8</w:t>
      </w:r>
      <w:r>
        <w:rPr>
          <w:rFonts w:ascii="Times New Roman" w:hAnsi="Times New Roman"/>
          <w:b/>
          <w:i w:val="false"/>
          <w:color w:val="000000"/>
          <w:sz w:val="22"/>
        </w:rPr>
        <w:t xml:space="preserve">(15,15B) </w:t>
      </w:r>
      <w:r>
        <w:rPr>
          <w:rFonts w:ascii="Times New Roman" w:hAnsi="Times New Roman"/>
          <w:b/>
          <w:i w:val="false"/>
          <w:color w:val="000000"/>
          <w:sz w:val="22"/>
        </w:rPr>
        <w:t xml:space="preserve">Notice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19.8(1)</w:t>
      </w:r>
      <w:r>
        <w:rPr>
          <w:rFonts w:ascii="Times New Roman" w:hAnsi="Times New Roman"/>
          <w:b w:val="false"/>
          <w:i w:val="false"/>
          <w:color w:val="000000"/>
          <w:sz w:val="22"/>
        </w:rPr>
        <w:t> </w:t>
      </w:r>
      <w:r>
        <w:rPr>
          <w:rFonts w:ascii="Times New Roman" w:hAnsi="Times New Roman"/>
          <w:b w:val="false"/>
          <w:i/>
          <w:color w:val="000000"/>
          <w:sz w:val="22"/>
        </w:rPr>
        <w:t xml:space="preserve">Notice of award. </w:t>
      </w:r>
      <w:r>
        <w:rPr>
          <w:rFonts w:ascii="Times New Roman" w:hAnsi="Times New Roman"/>
          <w:b w:val="false"/>
          <w:i w:val="false"/>
          <w:color w:val="000000"/>
          <w:sz w:val="22"/>
        </w:rPr>
        <w:t>Program applicants will be notified in writing of the funding decision, including any conditions and terms of the approval as may be required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19.8(2)</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An applicant receiving assistance under the program shall submit any information reasonably requested by the authority in sufficient detail to permit the authority to prepare any reports required by the authority, the board, the general assembly or the governor’s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1826C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1">
        <w:r>
          <w:rPr>
            <w:rStyle w:val="Hyperlink"/>
            <w:rFonts w:ascii="Times New Roman" w:hAnsi="Times New Roman"/>
            <w:b w:val="false"/>
            <w:i w:val="false"/>
            <w:color w:val="000000"/>
            <w:sz w:val="22"/>
          </w:rPr>
          <w:t>15B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1826C</w:t>
      </w:r>
      <w:r>
        <w:rPr>
          <w:rFonts w:ascii="Times New Roman" w:hAnsi="Times New Roman"/>
          <w:b w:val="false"/>
          <w:i w:val="false"/>
          <w:color w:val="000000"/>
          <w:sz w:val="21"/>
        </w:rPr>
        <w:t xml:space="preserve"> (Notice ARC 1692C, IAB 10/29/14)</w:t>
      </w:r>
      <w:r>
        <w:rPr>
          <w:rFonts w:ascii="Times New Roman" w:hAnsi="Times New Roman"/>
          <w:b w:val="false"/>
          <w:i w:val="false"/>
          <w:color w:val="000000"/>
          <w:sz w:val="21"/>
        </w:rPr>
        <w:t>, IAB 1/21/15, effective 2/25/15]</w:t>
      </w:r>
    </w:p>
    <w:p>
      <w:pPr>
        <w:spacing w:before="0" w:after="0"/>
        <w:ind w:left="120"/>
        <w:jc w:val="center"/>
      </w:pPr>
      <w:r>
        <w:rPr>
          <w:rFonts w:ascii="Times New Roman" w:hAnsi="Times New Roman"/>
          <w:b w:val="false"/>
          <w:i w:val="false"/>
          <w:color w:val="000000"/>
          <w:sz w:val="21"/>
        </w:rPr>
        <w:t>[Filed ARC 5480C</w:t>
      </w:r>
      <w:r>
        <w:rPr>
          <w:rFonts w:ascii="Times New Roman" w:hAnsi="Times New Roman"/>
          <w:b w:val="false"/>
          <w:i w:val="false"/>
          <w:color w:val="000000"/>
          <w:sz w:val="21"/>
        </w:rPr>
        <w:t xml:space="preserve"> (Notice ARC 5279C, IAB 11/18/20)</w:t>
      </w:r>
      <w:r>
        <w:rPr>
          <w:rFonts w:ascii="Times New Roman" w:hAnsi="Times New Roman"/>
          <w:b w:val="false"/>
          <w:i w:val="false"/>
          <w:color w:val="000000"/>
          <w:sz w:val="21"/>
        </w:rPr>
        <w:t>, IAB 2/24/21, effective 3/31/21]</w:t>
      </w:r>
    </w:p>
    <w:p>
      <w:pPr>
        <w:spacing w:before="0" w:after="0"/>
        <w:ind w:left="120"/>
        <w:jc w:val="center"/>
      </w:pPr>
      <w:r>
        <w:rPr>
          <w:rFonts w:ascii="Times New Roman" w:hAnsi="Times New Roman"/>
          <w:b w:val="false"/>
          <w:i w:val="false"/>
          <w:color w:val="000000"/>
          <w:sz w:val="21"/>
        </w:rPr>
        <w:t>[Filed ARC 5970C</w:t>
      </w:r>
      <w:r>
        <w:rPr>
          <w:rFonts w:ascii="Times New Roman" w:hAnsi="Times New Roman"/>
          <w:b w:val="false"/>
          <w:i w:val="false"/>
          <w:color w:val="000000"/>
          <w:sz w:val="21"/>
        </w:rPr>
        <w:t xml:space="preserve"> (Notice ARC 5787C, IAB 7/28/21)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[Editorial change: IAC Supplement 10/18/23]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4A.1.pdf" Type="http://schemas.openxmlformats.org/officeDocument/2006/relationships/hyperlink" Id="rId5"/>
    <Relationship TargetMode="External" Target="https://www.legis.iowa.gov/docs/ico/chapter/15B.3.pdf" Type="http://schemas.openxmlformats.org/officeDocument/2006/relationships/hyperlink" Id="rId6"/>
    <Relationship TargetMode="External" Target="https://www.legis.iowa.gov/docs/ico/chapter/15.342A.pdf" Type="http://schemas.openxmlformats.org/officeDocument/2006/relationships/hyperlink" Id="rId7"/>
    <Relationship TargetMode="External" Target="https://www.legis.iowa.gov/docs/iac/rule/261.12.4.pdf" Type="http://schemas.openxmlformats.org/officeDocument/2006/relationships/hyperlink" Id="rId8"/>
    <Relationship TargetMode="External" Target="https://www.legis.iowa.gov/docs/iac/rule/261.12.6.pdf" Type="http://schemas.openxmlformats.org/officeDocument/2006/relationships/hyperlink" Id="rId9"/>
    <Relationship TargetMode="External" Target="https://www.legis.iowa.gov/docs/ico/chapter/15B.pdf" Type="http://schemas.openxmlformats.org/officeDocument/2006/relationships/hyperlink" Id="rId10"/>
    <Relationship TargetMode="External" Target="https://www.legis.iowa.gov/docs/iac/rule/261.12.6.pdf" Type="http://schemas.openxmlformats.org/officeDocument/2006/relationships/hyperlink" Id="rId11"/>
    <Relationship TargetMode="External" Target="https://www.legis.iowa.gov/docs/ico/chapter/15C.pdf" Type="http://schemas.openxmlformats.org/officeDocument/2006/relationships/hyperlink" Id="rId12"/>
    <Relationship TargetMode="External" Target="https://www.legis.iowa.gov/docs/iac/rule/261.12.4.pdf" Type="http://schemas.openxmlformats.org/officeDocument/2006/relationships/hyperlink" Id="rId13"/>
    <Relationship TargetMode="External" Target="https://www.legis.iowa.gov/docs/iac/rule/261.12.5.pdf" Type="http://schemas.openxmlformats.org/officeDocument/2006/relationships/hyperlink" Id="rId14"/>
    <Relationship TargetMode="External" Target="https://www.legis.iowa.gov/docs/iac/rule/261.12.5.pdf" Type="http://schemas.openxmlformats.org/officeDocument/2006/relationships/hyperlink" Id="rId15"/>
    <Relationship TargetMode="External" Target="https://www.legis.iowa.gov/docs/iac/rule/261.12.6.pdf" Type="http://schemas.openxmlformats.org/officeDocument/2006/relationships/hyperlink" Id="rId16"/>
    <Relationship TargetMode="External" Target="https://www.legis.iowa.gov/docs/iac/rule/261.12.6.pdf" Type="http://schemas.openxmlformats.org/officeDocument/2006/relationships/hyperlink" Id="rId17"/>
    <Relationship TargetMode="External" Target="https://www.legis.iowa.gov/docs/iac/rule/261.12.6.pdf" Type="http://schemas.openxmlformats.org/officeDocument/2006/relationships/hyperlink" Id="rId18"/>
    <Relationship TargetMode="External" Target="https://www.legis.iowa.gov/docs/iac/rule/261.12.6.pdf" Type="http://schemas.openxmlformats.org/officeDocument/2006/relationships/hyperlink" Id="rId19"/>
    <Relationship TargetMode="External" Target="http://www.iowaeda.com" Type="http://schemas.openxmlformats.org/officeDocument/2006/relationships/hyperlink" Id="rId20"/>
    <Relationship TargetMode="External" Target="https://www.legis.iowa.gov/docs/ico/chapter/15B.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