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IOWA JOBS TRAINING PROGRAM</w:t>
      </w:r>
    </w:p>
    <w:p>
      <w:pPr>
        <w:spacing w:before="0" w:after="0"/>
        <w:ind w:left="120"/>
        <w:jc w:val="center"/>
      </w:pPr>
      <w:r>
        <w:rPr>
          <w:rFonts w:ascii="Times New Roman" w:hAnsi="Times New Roman"/>
          <w:b w:val="false"/>
          <w:i w:val="false"/>
          <w:color w:val="000000"/>
          <w:sz w:val="14"/>
        </w:rPr>
        <w:t>[Prior to 1/14/87 Iowa Development Commission(520), Ch 7]</w:t>
      </w:r>
    </w:p>
    <w:p>
      <w:pPr>
        <w:spacing w:before="0" w:after="0"/>
        <w:ind w:left="120"/>
        <w:jc w:val="center"/>
      </w:pPr>
      <w:r>
        <w:rPr>
          <w:rFonts w:ascii="Times New Roman" w:hAnsi="Times New Roman"/>
          <w:b w:val="false"/>
          <w:i w:val="false"/>
          <w:color w:val="000000"/>
          <w:sz w:val="14"/>
        </w:rPr>
        <w:t>[Prior to 7/8/92, see 261—Chs 6 and 7]</w:t>
      </w:r>
    </w:p>
    <w:p>
      <w:pPr>
        <w:spacing w:before="0" w:after="0"/>
        <w:ind w:left="120"/>
        <w:jc w:val="center"/>
      </w:pPr>
      <w:r>
        <w:rPr>
          <w:rFonts w:ascii="Times New Roman" w:hAnsi="Times New Roman"/>
          <w:b w:val="false"/>
          <w:i w:val="false"/>
          <w:color w:val="000000"/>
          <w:sz w:val="14"/>
        </w:rPr>
        <w:t>[Prior to 10/18/23, see Economic Development Authority[261]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877—17.1</w:t>
      </w:r>
      <w:r>
        <w:rPr>
          <w:rFonts w:ascii="Times New Roman" w:hAnsi="Times New Roman"/>
          <w:b/>
          <w:i w:val="false"/>
          <w:color w:val="000000"/>
          <w:sz w:val="22"/>
        </w:rPr>
        <w:t xml:space="preserve">(260F)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The authority for establishing rules governing the development of training projects under the Iowa jobs training Act is provided in Iowa Code chapter </w:t>
      </w:r>
      <w:hyperlink r:id="rId5">
        <w:r>
          <w:rPr>
            <w:rStyle w:val="Hyperlink"/>
            <w:rFonts w:ascii="Times New Roman" w:hAnsi="Times New Roman"/>
            <w:b w:val="false"/>
            <w:i w:val="false"/>
            <w:color w:val="000000"/>
            <w:sz w:val="22"/>
          </w:rPr>
          <w:t>260F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877—17.2</w:t>
      </w:r>
      <w:r>
        <w:rPr>
          <w:rFonts w:ascii="Times New Roman" w:hAnsi="Times New Roman"/>
          <w:b/>
          <w:i w:val="false"/>
          <w:color w:val="000000"/>
          <w:sz w:val="22"/>
        </w:rPr>
        <w:t xml:space="preserve">(260F)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Act is to foster the growth and competitiveness of Iowa’s workforce and industry by ensuring that Iowa’s workforce has the skills and expertise to compete with any workforce outside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877—17.3</w:t>
      </w:r>
      <w:r>
        <w:rPr>
          <w:rFonts w:ascii="Times New Roman" w:hAnsi="Times New Roman"/>
          <w:b/>
          <w:i w:val="false"/>
          <w:color w:val="000000"/>
          <w:sz w:val="22"/>
        </w:rPr>
        <w:t xml:space="preserve">(260F)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chapter </w:t>
      </w:r>
      <w:hyperlink r:id="rId6">
        <w:r>
          <w:rPr>
            <w:rStyle w:val="Hyperlink"/>
            <w:rFonts w:ascii="Times New Roman" w:hAnsi="Times New Roman"/>
            <w:b w:val="false"/>
            <w:i w:val="false"/>
            <w:color w:val="000000"/>
            <w:sz w:val="22"/>
          </w:rPr>
          <w:t>260F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the agreement between a business and a community college concerning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 </w:t>
      </w:r>
      <w:r>
        <w:rPr>
          <w:rFonts w:ascii="Times New Roman" w:hAnsi="Times New Roman"/>
          <w:b w:val="false"/>
          <w:i w:val="false"/>
          <w:color w:val="000000"/>
          <w:sz w:val="22"/>
        </w:rPr>
        <w:t>means a person who is at least 16 years of age, except where a higher minimum age is required by law, who is employed in an apprenticeable occupation, and is registered with the United States Department of Labor, Bureau of Apprenticeship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“Apprenticeable occupation” </w:t>
      </w:r>
      <w:r>
        <w:rPr>
          <w:rFonts w:ascii="Times New Roman" w:hAnsi="Times New Roman"/>
          <w:b w:val="false"/>
          <w:i w:val="false"/>
          <w:color w:val="000000"/>
          <w:sz w:val="22"/>
        </w:rPr>
        <w:t>means an occupation approved for apprenticeship by the United States Department of Labor, Bureau of Apprenticeship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program” </w:t>
      </w:r>
      <w:r>
        <w:rPr>
          <w:rFonts w:ascii="Times New Roman" w:hAnsi="Times New Roman"/>
          <w:b w:val="false"/>
          <w:i w:val="false"/>
          <w:color w:val="000000"/>
          <w:sz w:val="22"/>
        </w:rPr>
        <w:t>means a program registered with the U.S. Bureau of Apprenticeship and Training which contains the terms and conditions for the qualification, recruitment, selection, employment and training of apprentices, including the requirement for a written apprenticeship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“Apprenticeship sponsor” </w:t>
      </w:r>
      <w:r>
        <w:rPr>
          <w:rFonts w:ascii="Times New Roman" w:hAnsi="Times New Roman"/>
          <w:b w:val="false"/>
          <w:i w:val="false"/>
          <w:color w:val="000000"/>
          <w:sz w:val="22"/>
        </w:rPr>
        <w:t>means an entity operating an apprenticeship program or in whose name an apprenticeship program is being operated, registered or approved by the United States Department of Labor, Bureau of Apprenticeship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department of workforce development created in Iowa Code section </w:t>
      </w:r>
      <w:hyperlink r:id="rId7">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 xml:space="preserve"> (Iowa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network” </w:t>
      </w:r>
      <w:r>
        <w:rPr>
          <w:rFonts w:ascii="Times New Roman" w:hAnsi="Times New Roman"/>
          <w:b w:val="false"/>
          <w:i w:val="false"/>
          <w:color w:val="000000"/>
          <w:sz w:val="22"/>
        </w:rPr>
        <w:t>means five or more businesses which are located in two or more community college districts and which share a common training need. A business network training project must have a designated lead community college, business, or organization to serve as the administrative entity that will coordinate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means the community college and business agree that the information contained in the application is accurate. The certification also gives the authority permission to research the history of the business and perform other related activities necessary for the evaluation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college” </w:t>
      </w:r>
      <w:r>
        <w:rPr>
          <w:rFonts w:ascii="Times New Roman" w:hAnsi="Times New Roman"/>
          <w:b w:val="false"/>
          <w:i w:val="false"/>
          <w:color w:val="000000"/>
          <w:sz w:val="22"/>
        </w:rPr>
        <w:t xml:space="preserve">means a community college established under Iowa Code chapter </w:t>
      </w:r>
      <w:hyperlink r:id="rId8">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college consortium” </w:t>
      </w:r>
      <w:r>
        <w:rPr>
          <w:rFonts w:ascii="Times New Roman" w:hAnsi="Times New Roman"/>
          <w:b w:val="false"/>
          <w:i w:val="false"/>
          <w:color w:val="000000"/>
          <w:sz w:val="22"/>
        </w:rPr>
        <w:t>means two or more businesses located in the same community college district which share a common training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“Date of commencement of the project” </w:t>
      </w:r>
      <w:r>
        <w:rPr>
          <w:rFonts w:ascii="Times New Roman" w:hAnsi="Times New Roman"/>
          <w:b w:val="false"/>
          <w:i w:val="false"/>
          <w:color w:val="000000"/>
          <w:sz w:val="22"/>
        </w:rPr>
        <w:t>means the date of the preliminary agreement or the date an application for assistance is received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business”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“business” </w:t>
      </w:r>
      <w:r>
        <w:rPr>
          <w:rFonts w:ascii="Times New Roman" w:hAnsi="Times New Roman"/>
          <w:b w:val="false"/>
          <w:i w:val="false"/>
          <w:color w:val="000000"/>
          <w:sz w:val="22"/>
        </w:rPr>
        <w:t xml:space="preserve">means a business training employees which is engaged in interstate or intrastate commerce for the purpose of manufacturing, processing, or assembling products, warehousing or wholesaling products, conducting research and development, or providing services in interstate commerce, but excludes solely retail, health, or professional services and which meets the other criteria established by the authority. A business engaged in the provision of services must have customers outside of Iowa to be eligible. The business site to receive training must be located in Iowa. “Eligible business” does not include a business whose training costs can be economically funded under Iowa Code chapter </w:t>
      </w:r>
      <w:hyperlink r:id="rId9">
        <w:r>
          <w:rPr>
            <w:rStyle w:val="Hyperlink"/>
            <w:rFonts w:ascii="Times New Roman" w:hAnsi="Times New Roman"/>
            <w:b w:val="false"/>
            <w:i w:val="false"/>
            <w:color w:val="000000"/>
            <w:sz w:val="22"/>
          </w:rPr>
          <w:t>260E</w:t>
        </w:r>
      </w:hyperlink>
      <w:r>
        <w:rPr>
          <w:rFonts w:ascii="Times New Roman" w:hAnsi="Times New Roman"/>
          <w:b w:val="false"/>
          <w:i w:val="false"/>
          <w:color w:val="000000"/>
          <w:sz w:val="22"/>
        </w:rPr>
        <w:t>, a business which closes or substantially reduces its workforce by more than 20 percent at existing operations in order to relocate substantially the same operation to another area of the state, or a business which is involved in a strike, lockout, or other labor dispute in Iowa. If a business closes or substantially reduces its workforce by more than 20 percent at existing operations in order to relocate substantially the same operation to another area of the state, then the business is ineligible for 36 consecutive months at any of its Iowa sites from the date the new establishment opens.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 person currently employed by a business who is to be trained. An employee for whom training is planned must hold a current position intended by the employer to exist on an ongoing basis with no planned termination date. Training is available only to an employee who is hired by the business, who is currently employed by the business, and for whom the business pays withholding tax. However, “employee” does not include a person with executive responsibilities, a replacement worker who is hired as a result of a strike, lockout, or other labor dispute in Iowa, or an employee hired as a temporary worker. “Employee” does include a person with executive responsibilities if such person works in both an executive- and employee-based capacity for a small business with a total labor force of fewer than 50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technology apprenticeship program” </w:t>
      </w:r>
      <w:r>
        <w:rPr>
          <w:rFonts w:ascii="Times New Roman" w:hAnsi="Times New Roman"/>
          <w:b w:val="false"/>
          <w:i w:val="false"/>
          <w:color w:val="000000"/>
          <w:sz w:val="22"/>
        </w:rPr>
        <w:t>means a program that includes the definitions of apprenticeship program and high technology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technology training” </w:t>
      </w:r>
      <w:r>
        <w:rPr>
          <w:rFonts w:ascii="Times New Roman" w:hAnsi="Times New Roman"/>
          <w:b w:val="false"/>
          <w:i w:val="false"/>
          <w:color w:val="000000"/>
          <w:sz w:val="22"/>
        </w:rPr>
        <w:t>means training that provides knowledge or skills that are clearly recognized throughout the industry as technologically up to date or advanced for a particular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“Jobs training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project or projects established by a community college for the training of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apprenticeship sponsor” </w:t>
      </w:r>
      <w:r>
        <w:rPr>
          <w:rFonts w:ascii="Times New Roman" w:hAnsi="Times New Roman"/>
          <w:b w:val="false"/>
          <w:i w:val="false"/>
          <w:color w:val="000000"/>
          <w:sz w:val="22"/>
        </w:rPr>
        <w:t>means an apprenticeship sponsor that is the applicant for an apprenticeship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 organization” </w:t>
      </w:r>
      <w:r>
        <w:rPr>
          <w:rFonts w:ascii="Times New Roman" w:hAnsi="Times New Roman"/>
          <w:b w:val="false"/>
          <w:i w:val="false"/>
          <w:color w:val="000000"/>
          <w:sz w:val="22"/>
        </w:rPr>
        <w:t>means a trade organization, labor organization or other incorporated entity representing a group of businesses that is the applicant for a business network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business” </w:t>
      </w:r>
      <w:r>
        <w:rPr>
          <w:rFonts w:ascii="Times New Roman" w:hAnsi="Times New Roman"/>
          <w:b w:val="false"/>
          <w:i w:val="false"/>
          <w:color w:val="000000"/>
          <w:sz w:val="22"/>
        </w:rPr>
        <w:t>means a business training employees which enters into an agreement with the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costs” </w:t>
      </w:r>
      <w:r>
        <w:rPr>
          <w:rFonts w:ascii="Times New Roman" w:hAnsi="Times New Roman"/>
          <w:b w:val="false"/>
          <w:i w:val="false"/>
          <w:color w:val="000000"/>
          <w:sz w:val="22"/>
        </w:rPr>
        <w:t>means all necessary and incidental costs of providing program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services” </w:t>
      </w:r>
      <w:r>
        <w:rPr>
          <w:rFonts w:ascii="Times New Roman" w:hAnsi="Times New Roman"/>
          <w:b w:val="false"/>
          <w:i w:val="false"/>
          <w:color w:val="000000"/>
          <w:sz w:val="22"/>
        </w:rPr>
        <w:t xml:space="preserve">includes but is not limited to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Training of employees;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Adult basic education and job-related instruction;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Career and technical skill-assessment services and testing;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Training facilities, equipment, materials, and supplies;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Administrative expenses for the jobs training program;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Subcontracted services with institutions governed by the state board of regents, private colleges or universities, or other federal, state, or local agencies;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Contracted or professional services;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Training-related travel and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 xml:space="preserve">means a training arrangement which is the subject of an agreement entered into between a community college and an eligible business to provide program services. “Project” also means an authority-sponsored training arrangement which is sponsored by the authority and administered under Iowa Code sections </w:t>
      </w:r>
      <w:hyperlink r:id="rId10">
        <w:r>
          <w:rPr>
            <w:rStyle w:val="Hyperlink"/>
            <w:rFonts w:ascii="Times New Roman" w:hAnsi="Times New Roman"/>
            <w:b w:val="false"/>
            <w:i w:val="false"/>
            <w:color w:val="000000"/>
            <w:sz w:val="22"/>
          </w:rPr>
          <w:t>260F.6A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260F.6B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i w:val="false"/>
          <w:color w:val="000000"/>
          <w:sz w:val="16"/>
        </w:rPr>
        <w:t>ARC 7067C</w:t>
      </w:r>
      <w:r>
        <w:rPr>
          <w:rFonts w:ascii="Times New Roman" w:hAnsi="Times New Roman"/>
          <w:b w:val="false"/>
          <w:i w:val="false"/>
          <w:color w:val="000000"/>
          <w:sz w:val="16"/>
        </w:rPr>
        <w:t>, IAB 9/6/23, effective 10/11/23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877—17.4</w:t>
      </w:r>
      <w:r>
        <w:rPr>
          <w:rFonts w:ascii="Times New Roman" w:hAnsi="Times New Roman"/>
          <w:b/>
          <w:i w:val="false"/>
          <w:color w:val="000000"/>
          <w:sz w:val="22"/>
        </w:rPr>
        <w:t xml:space="preserve">(260F) </w:t>
      </w:r>
      <w:r>
        <w:rPr>
          <w:rFonts w:ascii="Times New Roman" w:hAnsi="Times New Roman"/>
          <w:b/>
          <w:i w:val="false"/>
          <w:color w:val="000000"/>
          <w:sz w:val="22"/>
        </w:rPr>
        <w:t xml:space="preserve">Program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val="false"/>
          <w:color w:val="000000"/>
          <w:sz w:val="22"/>
        </w:rPr>
        <w:t>Program funds consist of any moneys allocated by the authority and the board for the purpose of this program, all repayments of loans or other awards or recaptures of awards, and earned interest, including interest earned on program funds held by the 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community college 260F account is established in the authority. The allocation of funds in this account, to the community colleges, shall be determined using the distribution formula established in Iowa Code section </w:t>
      </w:r>
      <w:hyperlink r:id="rId12">
        <w:r>
          <w:rPr>
            <w:rStyle w:val="Hyperlink"/>
            <w:rFonts w:ascii="Times New Roman" w:hAnsi="Times New Roman"/>
            <w:b w:val="false"/>
            <w:i w:val="false"/>
            <w:color w:val="000000"/>
            <w:sz w:val="22"/>
          </w:rPr>
          <w:t>260C.18C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17.4(3)</w:t>
      </w:r>
      <w:r>
        <w:rPr>
          <w:rFonts w:ascii="Times New Roman" w:hAnsi="Times New Roman"/>
          <w:b w:val="false"/>
          <w:i w:val="false"/>
          <w:color w:val="000000"/>
          <w:sz w:val="22"/>
        </w:rPr>
        <w:t> </w:t>
      </w:r>
      <w:r>
        <w:rPr>
          <w:rFonts w:ascii="Times New Roman" w:hAnsi="Times New Roman"/>
          <w:b w:val="false"/>
          <w:i w:val="false"/>
          <w:color w:val="000000"/>
          <w:sz w:val="22"/>
        </w:rPr>
        <w:t>Any unexpended or uncommitted funds remaining in the community college 260F account on May 1 of the fiscal year shall revert to a general account to be available on a first-come, first-served basis, based on the date an application is received by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877—17.5</w:t>
      </w:r>
      <w:r>
        <w:rPr>
          <w:rFonts w:ascii="Times New Roman" w:hAnsi="Times New Roman"/>
          <w:b/>
          <w:i w:val="false"/>
          <w:color w:val="000000"/>
          <w:sz w:val="22"/>
        </w:rPr>
        <w:t xml:space="preserve">(260F) </w:t>
      </w:r>
      <w:r>
        <w:rPr>
          <w:rFonts w:ascii="Times New Roman" w:hAnsi="Times New Roman"/>
          <w:b/>
          <w:i w:val="false"/>
          <w:color w:val="000000"/>
          <w:sz w:val="22"/>
        </w:rPr>
        <w:t xml:space="preserve">Funding for projects which include one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w:t>
      </w:r>
      <w:r>
        <w:rPr>
          <w:rFonts w:ascii="Times New Roman" w:hAnsi="Times New Roman"/>
          <w:b w:val="false"/>
          <w:i w:val="false"/>
          <w:color w:val="000000"/>
          <w:sz w:val="22"/>
        </w:rPr>
        <w:t> </w:t>
      </w:r>
      <w:r>
        <w:rPr>
          <w:rFonts w:ascii="Times New Roman" w:hAnsi="Times New Roman"/>
          <w:b w:val="false"/>
          <w:i w:val="false"/>
          <w:color w:val="000000"/>
          <w:sz w:val="22"/>
        </w:rPr>
        <w:t>The maximum award which may be approved for each project at a business site is $50,000 in a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w:t>
      </w:r>
      <w:r>
        <w:rPr>
          <w:rFonts w:ascii="Times New Roman" w:hAnsi="Times New Roman"/>
          <w:b w:val="false"/>
          <w:i w:val="false"/>
          <w:color w:val="000000"/>
          <w:sz w:val="22"/>
        </w:rPr>
        <w:t> </w:t>
      </w:r>
      <w:r>
        <w:rPr>
          <w:rFonts w:ascii="Times New Roman" w:hAnsi="Times New Roman"/>
          <w:b w:val="false"/>
          <w:i w:val="false"/>
          <w:color w:val="000000"/>
          <w:sz w:val="22"/>
        </w:rPr>
        <w:t>A business site may be approved for multiple projects, but the total of the awards for two or more projects shall not exceed $100,000 within a three-year period. The three-year period shall begin with the authority approval date of the first project approved within the three-year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17.5(3)</w:t>
      </w:r>
      <w:r>
        <w:rPr>
          <w:rFonts w:ascii="Times New Roman" w:hAnsi="Times New Roman"/>
          <w:b w:val="false"/>
          <w:i w:val="false"/>
          <w:color w:val="000000"/>
          <w:sz w:val="22"/>
        </w:rPr>
        <w:t> </w:t>
      </w:r>
      <w:r>
        <w:rPr>
          <w:rFonts w:ascii="Times New Roman" w:hAnsi="Times New Roman"/>
          <w:b w:val="false"/>
          <w:i w:val="false"/>
          <w:color w:val="000000"/>
          <w:sz w:val="22"/>
        </w:rPr>
        <w:t>Awards shall be made in the form of forgivable loans.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17.5(4)</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assistance awarded to a project must be based on the actual cost of allowable services as identified in </w:t>
      </w:r>
      <w:hyperlink r:id="rId13">
        <w:r>
          <w:rPr>
            <w:rStyle w:val="Hyperlink"/>
            <w:rFonts w:ascii="Times New Roman" w:hAnsi="Times New Roman"/>
            <w:b w:val="false"/>
            <w:i w:val="false"/>
            <w:color w:val="000000"/>
            <w:sz w:val="22"/>
          </w:rPr>
          <w:t>261—7.9</w:t>
        </w:r>
      </w:hyperlink>
      <w:r>
        <w:rPr>
          <w:rFonts w:ascii="Times New Roman" w:hAnsi="Times New Roman"/>
          <w:b w:val="false"/>
          <w:i w:val="false"/>
          <w:color w:val="000000"/>
          <w:sz w:val="22"/>
        </w:rPr>
        <w:t>(260F).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17.5(5)</w:t>
      </w:r>
      <w:r>
        <w:rPr>
          <w:rFonts w:ascii="Times New Roman" w:hAnsi="Times New Roman"/>
          <w:b w:val="false"/>
          <w:i w:val="false"/>
          <w:color w:val="000000"/>
          <w:sz w:val="22"/>
        </w:rPr>
        <w:t> </w:t>
      </w:r>
      <w:r>
        <w:rPr>
          <w:rFonts w:ascii="Times New Roman" w:hAnsi="Times New Roman"/>
          <w:b w:val="false"/>
          <w:i w:val="false"/>
          <w:color w:val="000000"/>
          <w:sz w:val="22"/>
        </w:rPr>
        <w:t>Funds requested must be commensurate with training needs. Program funds shall not be used to cash flow a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17.5(6)</w:t>
      </w:r>
      <w:r>
        <w:rPr>
          <w:rFonts w:ascii="Times New Roman" w:hAnsi="Times New Roman"/>
          <w:b w:val="false"/>
          <w:i w:val="false"/>
          <w:color w:val="000000"/>
          <w:sz w:val="22"/>
        </w:rPr>
        <w:t> </w:t>
      </w:r>
      <w:r>
        <w:rPr>
          <w:rFonts w:ascii="Times New Roman" w:hAnsi="Times New Roman"/>
          <w:b w:val="false"/>
          <w:i w:val="false"/>
          <w:color w:val="000000"/>
          <w:sz w:val="22"/>
        </w:rPr>
        <w:t>Community colleges shall issue the proceeds of an award to a business on a reimbursement basis or directly pay for training expenses from the college-administered separate program account.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877—17.6</w:t>
      </w:r>
      <w:r>
        <w:rPr>
          <w:rFonts w:ascii="Times New Roman" w:hAnsi="Times New Roman"/>
          <w:b/>
          <w:i w:val="false"/>
          <w:color w:val="000000"/>
          <w:sz w:val="22"/>
        </w:rPr>
        <w:t xml:space="preserve">(260F) </w:t>
      </w:r>
      <w:r>
        <w:rPr>
          <w:rFonts w:ascii="Times New Roman" w:hAnsi="Times New Roman"/>
          <w:b/>
          <w:i w:val="false"/>
          <w:color w:val="000000"/>
          <w:sz w:val="22"/>
        </w:rPr>
        <w:t xml:space="preserve">Funding for projects which include multiple businesses.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community college consortium of two or more businesses as defined in </w:t>
      </w:r>
      <w:hyperlink r:id="rId14">
        <w:r>
          <w:rPr>
            <w:rStyle w:val="Hyperlink"/>
            <w:rFonts w:ascii="Times New Roman" w:hAnsi="Times New Roman"/>
            <w:b w:val="false"/>
            <w:i w:val="false"/>
            <w:color w:val="000000"/>
            <w:sz w:val="22"/>
          </w:rPr>
          <w:t>261—7.3</w:t>
        </w:r>
      </w:hyperlink>
      <w:r>
        <w:rPr>
          <w:rFonts w:ascii="Times New Roman" w:hAnsi="Times New Roman"/>
          <w:b w:val="false"/>
          <w:i w:val="false"/>
          <w:color w:val="000000"/>
          <w:sz w:val="22"/>
        </w:rPr>
        <w:t>(260F) is eligible for a maximum award of $100,000 per training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17.6(2)</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community college-sponsored business network training project as defined in </w:t>
      </w:r>
      <w:hyperlink r:id="rId15">
        <w:r>
          <w:rPr>
            <w:rStyle w:val="Hyperlink"/>
            <w:rFonts w:ascii="Times New Roman" w:hAnsi="Times New Roman"/>
            <w:b w:val="false"/>
            <w:i w:val="false"/>
            <w:color w:val="000000"/>
            <w:sz w:val="22"/>
          </w:rPr>
          <w:t>261—7.3</w:t>
        </w:r>
      </w:hyperlink>
      <w:r>
        <w:rPr>
          <w:rFonts w:ascii="Times New Roman" w:hAnsi="Times New Roman"/>
          <w:b w:val="false"/>
          <w:i w:val="false"/>
          <w:color w:val="000000"/>
          <w:sz w:val="22"/>
        </w:rPr>
        <w:t>(260F) is eligible for a maximum project award of $50,000 from each of the participating 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17.6(3)</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Authority-sponsored business network training projects as defined in </w:t>
      </w:r>
      <w:hyperlink r:id="rId16">
        <w:r>
          <w:rPr>
            <w:rStyle w:val="Hyperlink"/>
            <w:rFonts w:ascii="Times New Roman" w:hAnsi="Times New Roman"/>
            <w:b w:val="false"/>
            <w:i w:val="false"/>
            <w:color w:val="000000"/>
            <w:sz w:val="22"/>
          </w:rPr>
          <w:t>261—7.3</w:t>
        </w:r>
      </w:hyperlink>
      <w:r>
        <w:rPr>
          <w:rFonts w:ascii="Times New Roman" w:hAnsi="Times New Roman"/>
          <w:b w:val="false"/>
          <w:i w:val="false"/>
          <w:color w:val="000000"/>
          <w:sz w:val="22"/>
        </w:rPr>
        <w:t>(260F) are not subject to a funding maximum.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17.6(4)</w:t>
      </w:r>
      <w:r>
        <w:rPr>
          <w:rFonts w:ascii="Times New Roman" w:hAnsi="Times New Roman"/>
          <w:b w:val="false"/>
          <w:i w:val="false"/>
          <w:color w:val="000000"/>
          <w:sz w:val="22"/>
        </w:rPr>
        <w:t> </w:t>
      </w:r>
      <w:r>
        <w:rPr>
          <w:rFonts w:ascii="Times New Roman" w:hAnsi="Times New Roman"/>
          <w:b w:val="false"/>
          <w:i w:val="false"/>
          <w:color w:val="000000"/>
          <w:sz w:val="22"/>
        </w:rPr>
        <w:t>Participation in a community college consortium or business network does not affect a business site’s financial eligibility for individual project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i w:val="false"/>
          <w:color w:val="000000"/>
          <w:sz w:val="16"/>
        </w:rPr>
        <w:t>ARC 6319C</w:t>
      </w:r>
      <w:r>
        <w:rPr>
          <w:rFonts w:ascii="Times New Roman" w:hAnsi="Times New Roman"/>
          <w:b w:val="false"/>
          <w:i w:val="false"/>
          <w:color w:val="000000"/>
          <w:sz w:val="16"/>
        </w:rPr>
        <w:t>, IAB 5/18/22, effective 6/22/22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877—17.7</w:t>
      </w:r>
      <w:r>
        <w:rPr>
          <w:rFonts w:ascii="Times New Roman" w:hAnsi="Times New Roman"/>
          <w:b/>
          <w:i w:val="false"/>
          <w:color w:val="000000"/>
          <w:sz w:val="22"/>
        </w:rPr>
        <w:t xml:space="preserve">(260F) </w:t>
      </w:r>
      <w:r>
        <w:rPr>
          <w:rFonts w:ascii="Times New Roman" w:hAnsi="Times New Roman"/>
          <w:b/>
          <w:i w:val="false"/>
          <w:color w:val="000000"/>
          <w:sz w:val="22"/>
        </w:rPr>
        <w:t xml:space="preserve">Funding for high technology apprenticeship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community college high technology apprenticeship program as defined in </w:t>
      </w:r>
      <w:hyperlink r:id="rId17">
        <w:r>
          <w:rPr>
            <w:rStyle w:val="Hyperlink"/>
            <w:rFonts w:ascii="Times New Roman" w:hAnsi="Times New Roman"/>
            <w:b w:val="false"/>
            <w:i w:val="false"/>
            <w:color w:val="000000"/>
            <w:sz w:val="22"/>
          </w:rPr>
          <w:t>261—7.3</w:t>
        </w:r>
      </w:hyperlink>
      <w:r>
        <w:rPr>
          <w:rFonts w:ascii="Times New Roman" w:hAnsi="Times New Roman"/>
          <w:b w:val="false"/>
          <w:i w:val="false"/>
          <w:color w:val="000000"/>
          <w:sz w:val="22"/>
        </w:rPr>
        <w:t>(260F) may be funded at the discretion of each specific community college at an amount up to, but not exceeding, the specific community college’s apprenticeship distribution for the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w:t>
      </w:r>
      <w:r>
        <w:rPr>
          <w:rFonts w:ascii="Times New Roman" w:hAnsi="Times New Roman"/>
          <w:b w:val="false"/>
          <w:i w:val="false"/>
          <w:color w:val="000000"/>
          <w:sz w:val="22"/>
        </w:rPr>
        <w:t> </w:t>
      </w:r>
      <w:r>
        <w:rPr>
          <w:rFonts w:ascii="Times New Roman" w:hAnsi="Times New Roman"/>
          <w:b w:val="false"/>
          <w:i w:val="false"/>
          <w:color w:val="000000"/>
          <w:sz w:val="22"/>
        </w:rPr>
        <w:t xml:space="preserve">Authority-sponsored high technology apprenticeship programs as defined in </w:t>
      </w:r>
      <w:hyperlink r:id="rId18">
        <w:r>
          <w:rPr>
            <w:rStyle w:val="Hyperlink"/>
            <w:rFonts w:ascii="Times New Roman" w:hAnsi="Times New Roman"/>
            <w:b w:val="false"/>
            <w:i w:val="false"/>
            <w:color w:val="000000"/>
            <w:sz w:val="22"/>
          </w:rPr>
          <w:t>261—7.3</w:t>
        </w:r>
      </w:hyperlink>
      <w:r>
        <w:rPr>
          <w:rFonts w:ascii="Times New Roman" w:hAnsi="Times New Roman"/>
          <w:b w:val="false"/>
          <w:i w:val="false"/>
          <w:color w:val="000000"/>
          <w:sz w:val="22"/>
        </w:rPr>
        <w:t>(260F) are not subject to a funding maximum.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877—17.8</w:t>
      </w:r>
      <w:r>
        <w:rPr>
          <w:rFonts w:ascii="Times New Roman" w:hAnsi="Times New Roman"/>
          <w:b/>
          <w:i w:val="false"/>
          <w:color w:val="000000"/>
          <w:sz w:val="22"/>
        </w:rPr>
        <w:t xml:space="preserve">(260F) </w:t>
      </w:r>
      <w:r>
        <w:rPr>
          <w:rFonts w:ascii="Times New Roman" w:hAnsi="Times New Roman"/>
          <w:b/>
          <w:i w:val="false"/>
          <w:color w:val="000000"/>
          <w:sz w:val="22"/>
        </w:rPr>
        <w:t xml:space="preserve">Matching funds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17.8(1)</w:t>
      </w:r>
      <w:r>
        <w:rPr>
          <w:rFonts w:ascii="Times New Roman" w:hAnsi="Times New Roman"/>
          <w:b w:val="false"/>
          <w:i w:val="false"/>
          <w:color w:val="000000"/>
          <w:sz w:val="22"/>
        </w:rPr>
        <w:t> </w:t>
      </w:r>
      <w:r>
        <w:rPr>
          <w:rFonts w:ascii="Times New Roman" w:hAnsi="Times New Roman"/>
          <w:b w:val="false"/>
          <w:i w:val="false"/>
          <w:color w:val="000000"/>
          <w:sz w:val="22"/>
        </w:rPr>
        <w:t>An apprenticeship sponsor, business, community college consortium, or business network shall provide matching funds in order to be eligible for a program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17.8(2)</w:t>
      </w:r>
      <w:r>
        <w:rPr>
          <w:rFonts w:ascii="Times New Roman" w:hAnsi="Times New Roman"/>
          <w:b w:val="false"/>
          <w:i w:val="false"/>
          <w:color w:val="000000"/>
          <w:sz w:val="22"/>
        </w:rPr>
        <w:t> </w:t>
      </w:r>
      <w:r>
        <w:rPr>
          <w:rFonts w:ascii="Times New Roman" w:hAnsi="Times New Roman"/>
          <w:b w:val="false"/>
          <w:i w:val="false"/>
          <w:color w:val="000000"/>
          <w:sz w:val="22"/>
        </w:rPr>
        <w:t>An apprenticeship sponsor, business, community college consortium, or business network requesting a program award of less than $5,000 shall provide in-kind matching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17.8(3)</w:t>
      </w:r>
      <w:r>
        <w:rPr>
          <w:rFonts w:ascii="Times New Roman" w:hAnsi="Times New Roman"/>
          <w:b w:val="false"/>
          <w:i w:val="false"/>
          <w:color w:val="000000"/>
          <w:sz w:val="22"/>
        </w:rPr>
        <w:t> </w:t>
      </w:r>
      <w:r>
        <w:rPr>
          <w:rFonts w:ascii="Times New Roman" w:hAnsi="Times New Roman"/>
          <w:b w:val="false"/>
          <w:i w:val="false"/>
          <w:color w:val="000000"/>
          <w:sz w:val="22"/>
        </w:rPr>
        <w:t>An apprenticeship sponsor, business, community college consortium, or business network requesting a program award of $5,000 or more shall provide cash to pay at least 25 percent of the total project cost, including training and administration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17.8(4)</w:t>
      </w:r>
      <w:r>
        <w:rPr>
          <w:rFonts w:ascii="Times New Roman" w:hAnsi="Times New Roman"/>
          <w:b w:val="false"/>
          <w:i w:val="false"/>
          <w:color w:val="000000"/>
          <w:sz w:val="22"/>
        </w:rPr>
        <w:t> </w:t>
      </w:r>
      <w:r>
        <w:rPr>
          <w:rFonts w:ascii="Times New Roman" w:hAnsi="Times New Roman"/>
          <w:b w:val="false"/>
          <w:i w:val="false"/>
          <w:color w:val="000000"/>
          <w:sz w:val="22"/>
        </w:rPr>
        <w:t>In-kind matching funds include employee wages paid by the business during the training period, the value of business-provided facilities and equipment used for training, or the value of any other resources provided by the business or apprenticeship sponsor to facilitate the training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877—17.9</w:t>
      </w:r>
      <w:r>
        <w:rPr>
          <w:rFonts w:ascii="Times New Roman" w:hAnsi="Times New Roman"/>
          <w:b/>
          <w:i w:val="false"/>
          <w:color w:val="000000"/>
          <w:sz w:val="22"/>
        </w:rPr>
        <w:t xml:space="preserve">(260F) </w:t>
      </w:r>
      <w:r>
        <w:rPr>
          <w:rFonts w:ascii="Times New Roman" w:hAnsi="Times New Roman"/>
          <w:b/>
          <w:i w:val="false"/>
          <w:color w:val="000000"/>
          <w:sz w:val="22"/>
        </w:rPr>
        <w:t xml:space="preserve">Use of program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17.9(1)</w:t>
      </w:r>
      <w:r>
        <w:rPr>
          <w:rFonts w:ascii="Times New Roman" w:hAnsi="Times New Roman"/>
          <w:b w:val="false"/>
          <w:i w:val="false"/>
          <w:color w:val="000000"/>
          <w:sz w:val="22"/>
        </w:rPr>
        <w:t> </w:t>
      </w:r>
      <w:r>
        <w:rPr>
          <w:rFonts w:ascii="Times New Roman" w:hAnsi="Times New Roman"/>
          <w:b w:val="false"/>
          <w:i w:val="false"/>
          <w:color w:val="000000"/>
          <w:sz w:val="22"/>
        </w:rPr>
        <w:t>The following costs associated with the administration of any project are eligible for program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Community college administrative costs associated with the development and operation of a project, not to exceed 15 percent of the project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Legal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17.9(2)</w:t>
      </w:r>
      <w:r>
        <w:rPr>
          <w:rFonts w:ascii="Times New Roman" w:hAnsi="Times New Roman"/>
          <w:b w:val="false"/>
          <w:i w:val="false"/>
          <w:color w:val="000000"/>
          <w:sz w:val="22"/>
        </w:rPr>
        <w:t> </w:t>
      </w:r>
      <w:r>
        <w:rPr>
          <w:rFonts w:ascii="Times New Roman" w:hAnsi="Times New Roman"/>
          <w:b w:val="false"/>
          <w:i w:val="false"/>
          <w:color w:val="000000"/>
          <w:sz w:val="22"/>
        </w:rPr>
        <w:t>The costs associated with the provision of program services for any project are eligible for program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17.9(3)</w:t>
      </w:r>
      <w:r>
        <w:rPr>
          <w:rFonts w:ascii="Times New Roman" w:hAnsi="Times New Roman"/>
          <w:b w:val="false"/>
          <w:i w:val="false"/>
          <w:color w:val="000000"/>
          <w:sz w:val="22"/>
        </w:rPr>
        <w:t> </w:t>
      </w:r>
      <w:r>
        <w:rPr>
          <w:rFonts w:ascii="Times New Roman" w:hAnsi="Times New Roman"/>
          <w:b w:val="false"/>
          <w:i w:val="false"/>
          <w:color w:val="000000"/>
          <w:sz w:val="22"/>
        </w:rPr>
        <w:t>Reimbursement of employee wages while the employee is in training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17.9(4)</w:t>
      </w:r>
      <w:r>
        <w:rPr>
          <w:rFonts w:ascii="Times New Roman" w:hAnsi="Times New Roman"/>
          <w:b w:val="false"/>
          <w:i w:val="false"/>
          <w:color w:val="000000"/>
          <w:sz w:val="22"/>
        </w:rPr>
        <w:t> </w:t>
      </w:r>
      <w:r>
        <w:rPr>
          <w:rFonts w:ascii="Times New Roman" w:hAnsi="Times New Roman"/>
          <w:b w:val="false"/>
          <w:i w:val="false"/>
          <w:color w:val="000000"/>
          <w:sz w:val="22"/>
        </w:rPr>
        <w:t xml:space="preserve">Production equipment, when used for training, may be an allowable cost. The cost of equipment used in training but subsequently used in production shall be prorated, as identified in </w:t>
      </w:r>
      <w:hyperlink r:id="rId19">
        <w:r>
          <w:rPr>
            <w:rStyle w:val="Hyperlink"/>
            <w:rFonts w:ascii="Times New Roman" w:hAnsi="Times New Roman"/>
            <w:b w:val="false"/>
            <w:i w:val="false"/>
            <w:color w:val="000000"/>
            <w:sz w:val="22"/>
          </w:rPr>
          <w:t>261—8.12</w:t>
        </w:r>
      </w:hyperlink>
      <w:r>
        <w:rPr>
          <w:rFonts w:ascii="Times New Roman" w:hAnsi="Times New Roman"/>
          <w:b w:val="false"/>
          <w:i w:val="false"/>
          <w:color w:val="000000"/>
          <w:sz w:val="22"/>
        </w:rPr>
        <w:t>(15), with the percentage of “used in production” cost paid by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17.9(5)</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community college may use funds awarded to a project to cover reasonable administrative costs and legal fees for that project.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17.9(6)</w:t>
      </w:r>
      <w:r>
        <w:rPr>
          <w:rFonts w:ascii="Times New Roman" w:hAnsi="Times New Roman"/>
          <w:b w:val="false"/>
          <w:i w:val="false"/>
          <w:color w:val="000000"/>
          <w:sz w:val="22"/>
        </w:rPr>
        <w:t> </w:t>
      </w:r>
      <w:r>
        <w:rPr>
          <w:rFonts w:ascii="Times New Roman" w:hAnsi="Times New Roman"/>
          <w:b w:val="false"/>
          <w:i w:val="false"/>
          <w:color w:val="000000"/>
          <w:sz w:val="22"/>
        </w:rPr>
        <w:t>A community college may not use funds from one project’s program award to cover any costs incurred by another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3383C</w:t>
      </w:r>
      <w:r>
        <w:rPr>
          <w:rFonts w:ascii="Times New Roman" w:hAnsi="Times New Roman"/>
          <w:b w:val="false"/>
          <w:i w:val="false"/>
          <w:color w:val="000000"/>
          <w:sz w:val="16"/>
        </w:rPr>
        <w:t>, IAB 10/11/17, effective 11/15/17</w:t>
      </w:r>
      <w:r>
        <w:rPr>
          <w:rFonts w:ascii="Times New Roman" w:hAnsi="Times New Roman"/>
          <w:b w:val="false"/>
          <w:i w:val="false"/>
          <w:color w:val="000000"/>
          <w:sz w:val="16"/>
        </w:rPr>
        <w:t xml:space="preserve">; </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877—17.10</w:t>
      </w:r>
      <w:r>
        <w:rPr>
          <w:rFonts w:ascii="Times New Roman" w:hAnsi="Times New Roman"/>
          <w:b/>
          <w:i w:val="false"/>
          <w:color w:val="000000"/>
          <w:sz w:val="22"/>
        </w:rPr>
        <w:t xml:space="preserve">(260F) </w:t>
      </w:r>
      <w:r>
        <w:rPr>
          <w:rFonts w:ascii="Times New Roman" w:hAnsi="Times New Roman"/>
          <w:b/>
          <w:i w:val="false"/>
          <w:color w:val="000000"/>
          <w:sz w:val="22"/>
        </w:rPr>
        <w:t xml:space="preserve">Use of 260F earned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17.10(1)</w:t>
      </w:r>
      <w:r>
        <w:rPr>
          <w:rFonts w:ascii="Times New Roman" w:hAnsi="Times New Roman"/>
          <w:b w:val="false"/>
          <w:i w:val="false"/>
          <w:color w:val="000000"/>
          <w:sz w:val="22"/>
        </w:rPr>
        <w:t> </w:t>
      </w:r>
      <w:r>
        <w:rPr>
          <w:rFonts w:ascii="Times New Roman" w:hAnsi="Times New Roman"/>
          <w:b w:val="false"/>
          <w:i w:val="false"/>
          <w:color w:val="000000"/>
          <w:sz w:val="22"/>
        </w:rPr>
        <w:t>The community college is authorized to use interest earned on program funds to pay administrative costs incurred as a result of administering the program. Administrative costs include all costs incurred from the time the application process commences minus any costs covered by application fees paid by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17.10(2)</w:t>
      </w:r>
      <w:r>
        <w:rPr>
          <w:rFonts w:ascii="Times New Roman" w:hAnsi="Times New Roman"/>
          <w:b w:val="false"/>
          <w:i w:val="false"/>
          <w:color w:val="000000"/>
          <w:sz w:val="22"/>
        </w:rPr>
        <w:t> </w:t>
      </w:r>
      <w:r>
        <w:rPr>
          <w:rFonts w:ascii="Times New Roman" w:hAnsi="Times New Roman"/>
          <w:b w:val="false"/>
          <w:i w:val="false"/>
          <w:color w:val="000000"/>
          <w:sz w:val="22"/>
        </w:rPr>
        <w:t>Earned interest which has not been spent by the end of any state fiscal year shall be refunded to the authority within ten days of the end of the state fiscal year. The community college may designate and carry forward specified interest funds, as permitted by these rules, for identified payments which will occur during the next state fiscal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877—17.11</w:t>
      </w:r>
      <w:r>
        <w:rPr>
          <w:rFonts w:ascii="Times New Roman" w:hAnsi="Times New Roman"/>
          <w:b/>
          <w:i w:val="false"/>
          <w:color w:val="000000"/>
          <w:sz w:val="22"/>
        </w:rPr>
        <w:t xml:space="preserve">(260F) </w:t>
      </w:r>
      <w:r>
        <w:rPr>
          <w:rFonts w:ascii="Times New Roman" w:hAnsi="Times New Roman"/>
          <w:b/>
          <w:i w:val="false"/>
          <w:color w:val="000000"/>
          <w:sz w:val="22"/>
        </w:rPr>
        <w:t xml:space="preserve">Application fee. </w:t>
      </w:r>
      <w:r>
        <w:rPr>
          <w:rFonts w:ascii="Times New Roman" w:hAnsi="Times New Roman"/>
          <w:b w:val="false"/>
          <w:i w:val="false"/>
          <w:color w:val="000000"/>
          <w:sz w:val="22"/>
        </w:rPr>
        <w:t xml:space="preserve">Rescinded </w:t>
      </w:r>
      <w:r>
        <w:rPr>
          <w:rFonts w:ascii="Times New Roman" w:hAnsi="Times New Roman"/>
          <w:b/>
          <w:i w:val="false"/>
          <w:color w:val="000000"/>
          <w:sz w:val="22"/>
        </w:rPr>
        <w:t>ARC 3463C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11/22/17</w:t>
      </w:r>
      <w:r>
        <w:rPr>
          <w:rFonts w:ascii="Times New Roman" w:hAnsi="Times New Roman"/>
          <w:b w:val="false"/>
          <w:i w:val="false"/>
          <w:color w:val="000000"/>
          <w:sz w:val="22"/>
        </w:rPr>
        <w:t xml:space="preserve">, effective 12/27/17. </w:t>
      </w:r>
    </w:p>
    <w:p>
      <w:pPr>
        <w:spacing w:before="0" w:after="0"/>
        <w:ind w:left="120"/>
        <w:jc w:val="both"/>
      </w:pPr>
      <w:r>
        <w:rPr>
          <w:rFonts w:ascii="Times New Roman" w:hAnsi="Times New Roman"/>
          <w:b/>
          <w:i w:val="false"/>
          <w:color w:val="000000"/>
          <w:sz w:val="22"/>
        </w:rPr>
        <w:t>877—17.12</w:t>
      </w:r>
      <w:r>
        <w:rPr>
          <w:rFonts w:ascii="Times New Roman" w:hAnsi="Times New Roman"/>
          <w:b/>
          <w:i w:val="false"/>
          <w:color w:val="000000"/>
          <w:sz w:val="22"/>
        </w:rPr>
        <w:t xml:space="preserve">(260F) </w:t>
      </w:r>
      <w:r>
        <w:rPr>
          <w:rFonts w:ascii="Times New Roman" w:hAnsi="Times New Roman"/>
          <w:b/>
          <w:i w:val="false"/>
          <w:color w:val="000000"/>
          <w:sz w:val="22"/>
        </w:rPr>
        <w:t xml:space="preserve">Separate account. </w:t>
      </w:r>
      <w:r>
        <w:rPr>
          <w:rFonts w:ascii="Times New Roman" w:hAnsi="Times New Roman"/>
          <w:b w:val="false"/>
          <w:i w:val="false"/>
          <w:color w:val="000000"/>
          <w:sz w:val="22"/>
        </w:rPr>
        <w:t>The community college shall establish a separate program account to document all program transactions and from which repayments for loans shall be made to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877—17.13</w:t>
      </w:r>
      <w:r>
        <w:rPr>
          <w:rFonts w:ascii="Times New Roman" w:hAnsi="Times New Roman"/>
          <w:b/>
          <w:i w:val="false"/>
          <w:color w:val="000000"/>
          <w:sz w:val="22"/>
        </w:rPr>
        <w:t xml:space="preserve">(260F) </w:t>
      </w:r>
      <w:r>
        <w:rPr>
          <w:rFonts w:ascii="Times New Roman" w:hAnsi="Times New Roman"/>
          <w:b/>
          <w:i w:val="false"/>
          <w:color w:val="000000"/>
          <w:sz w:val="22"/>
        </w:rPr>
        <w:t xml:space="preserve">Eligible business.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3463C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11/22/17</w:t>
      </w:r>
      <w:r>
        <w:rPr>
          <w:rFonts w:ascii="Times New Roman" w:hAnsi="Times New Roman"/>
          <w:b w:val="false"/>
          <w:i w:val="false"/>
          <w:color w:val="000000"/>
          <w:sz w:val="22"/>
        </w:rPr>
        <w:t xml:space="preserve">, effective 12/27/17. </w:t>
      </w:r>
    </w:p>
    <w:p>
      <w:pPr>
        <w:spacing w:before="210" w:after="0"/>
        <w:ind w:left="120"/>
        <w:jc w:val="both"/>
      </w:pPr>
      <w:r>
        <w:rPr>
          <w:rFonts w:ascii="Times New Roman" w:hAnsi="Times New Roman"/>
          <w:b/>
          <w:i w:val="false"/>
          <w:color w:val="000000"/>
          <w:sz w:val="22"/>
        </w:rPr>
        <w:t>877—17.14</w:t>
      </w:r>
      <w:r>
        <w:rPr>
          <w:rFonts w:ascii="Times New Roman" w:hAnsi="Times New Roman"/>
          <w:b/>
          <w:i w:val="false"/>
          <w:color w:val="000000"/>
          <w:sz w:val="22"/>
        </w:rPr>
        <w:t xml:space="preserve">(260F) </w:t>
      </w:r>
      <w:r>
        <w:rPr>
          <w:rFonts w:ascii="Times New Roman" w:hAnsi="Times New Roman"/>
          <w:b/>
          <w:i w:val="false"/>
          <w:color w:val="000000"/>
          <w:sz w:val="22"/>
        </w:rPr>
        <w:t xml:space="preserve">Ineligible business.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3463C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11/22/17</w:t>
      </w:r>
      <w:r>
        <w:rPr>
          <w:rFonts w:ascii="Times New Roman" w:hAnsi="Times New Roman"/>
          <w:b w:val="false"/>
          <w:i w:val="false"/>
          <w:color w:val="000000"/>
          <w:sz w:val="22"/>
        </w:rPr>
        <w:t xml:space="preserve">, effective 12/27/17. </w:t>
      </w:r>
    </w:p>
    <w:p>
      <w:pPr>
        <w:spacing w:before="210" w:after="0"/>
        <w:ind w:left="120"/>
        <w:jc w:val="both"/>
      </w:pPr>
      <w:r>
        <w:rPr>
          <w:rFonts w:ascii="Times New Roman" w:hAnsi="Times New Roman"/>
          <w:b/>
          <w:i w:val="false"/>
          <w:color w:val="000000"/>
          <w:sz w:val="22"/>
        </w:rPr>
        <w:t>877—17.15</w:t>
      </w:r>
      <w:r>
        <w:rPr>
          <w:rFonts w:ascii="Times New Roman" w:hAnsi="Times New Roman"/>
          <w:b/>
          <w:i w:val="false"/>
          <w:color w:val="000000"/>
          <w:sz w:val="22"/>
        </w:rPr>
        <w:t xml:space="preserve">(260F) </w:t>
      </w:r>
      <w:r>
        <w:rPr>
          <w:rFonts w:ascii="Times New Roman" w:hAnsi="Times New Roman"/>
          <w:b/>
          <w:i w:val="false"/>
          <w:color w:val="000000"/>
          <w:sz w:val="22"/>
        </w:rPr>
        <w:t xml:space="preserve">Eligible employee. </w:t>
      </w:r>
      <w:r>
        <w:rPr>
          <w:rFonts w:ascii="Times New Roman" w:hAnsi="Times New Roman"/>
          <w:b w:val="false"/>
          <w:i w:val="false"/>
          <w:color w:val="000000"/>
          <w:sz w:val="22"/>
        </w:rPr>
        <w:t xml:space="preserve">Rescinded </w:t>
      </w:r>
      <w:r>
        <w:rPr>
          <w:rFonts w:ascii="Times New Roman" w:hAnsi="Times New Roman"/>
          <w:b/>
          <w:i w:val="false"/>
          <w:color w:val="000000"/>
          <w:sz w:val="22"/>
        </w:rPr>
        <w:t>ARC 3463C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11/22/17</w:t>
      </w:r>
      <w:r>
        <w:rPr>
          <w:rFonts w:ascii="Times New Roman" w:hAnsi="Times New Roman"/>
          <w:b w:val="false"/>
          <w:i w:val="false"/>
          <w:color w:val="000000"/>
          <w:sz w:val="22"/>
        </w:rPr>
        <w:t xml:space="preserve">, effective 12/27/17. </w:t>
      </w:r>
    </w:p>
    <w:p>
      <w:pPr>
        <w:spacing w:before="210" w:after="0"/>
        <w:ind w:left="120"/>
        <w:jc w:val="both"/>
      </w:pPr>
      <w:r>
        <w:rPr>
          <w:rFonts w:ascii="Times New Roman" w:hAnsi="Times New Roman"/>
          <w:b/>
          <w:i w:val="false"/>
          <w:color w:val="000000"/>
          <w:sz w:val="22"/>
        </w:rPr>
        <w:t>877—17.16</w:t>
      </w:r>
      <w:r>
        <w:rPr>
          <w:rFonts w:ascii="Times New Roman" w:hAnsi="Times New Roman"/>
          <w:b/>
          <w:i w:val="false"/>
          <w:color w:val="000000"/>
          <w:sz w:val="22"/>
        </w:rPr>
        <w:t xml:space="preserve">(260F) </w:t>
      </w:r>
      <w:r>
        <w:rPr>
          <w:rFonts w:ascii="Times New Roman" w:hAnsi="Times New Roman"/>
          <w:b/>
          <w:i w:val="false"/>
          <w:color w:val="000000"/>
          <w:sz w:val="22"/>
        </w:rPr>
        <w:t xml:space="preserve">Ineligible employee. </w:t>
      </w:r>
      <w:r>
        <w:rPr>
          <w:rFonts w:ascii="Times New Roman" w:hAnsi="Times New Roman"/>
          <w:b w:val="false"/>
          <w:i w:val="false"/>
          <w:color w:val="000000"/>
          <w:sz w:val="22"/>
        </w:rPr>
        <w:t xml:space="preserve">Rescinded </w:t>
      </w:r>
      <w:r>
        <w:rPr>
          <w:rFonts w:ascii="Times New Roman" w:hAnsi="Times New Roman"/>
          <w:b/>
          <w:i w:val="false"/>
          <w:color w:val="000000"/>
          <w:sz w:val="22"/>
        </w:rPr>
        <w:t>ARC 3463C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11/22/17</w:t>
      </w:r>
      <w:r>
        <w:rPr>
          <w:rFonts w:ascii="Times New Roman" w:hAnsi="Times New Roman"/>
          <w:b w:val="false"/>
          <w:i w:val="false"/>
          <w:color w:val="000000"/>
          <w:sz w:val="22"/>
        </w:rPr>
        <w:t xml:space="preserve">, effective 12/27/17. </w:t>
      </w:r>
    </w:p>
    <w:p>
      <w:pPr>
        <w:spacing w:before="210" w:after="0"/>
        <w:ind w:left="120"/>
        <w:jc w:val="both"/>
      </w:pPr>
      <w:r>
        <w:rPr>
          <w:rFonts w:ascii="Times New Roman" w:hAnsi="Times New Roman"/>
          <w:b/>
          <w:i w:val="false"/>
          <w:color w:val="000000"/>
          <w:sz w:val="22"/>
        </w:rPr>
        <w:t>877—17.17</w:t>
      </w:r>
      <w:r>
        <w:rPr>
          <w:rFonts w:ascii="Times New Roman" w:hAnsi="Times New Roman"/>
          <w:b/>
          <w:i w:val="false"/>
          <w:color w:val="000000"/>
          <w:sz w:val="22"/>
        </w:rPr>
        <w:t xml:space="preserve">(260F) </w:t>
      </w:r>
      <w:r>
        <w:rPr>
          <w:rFonts w:ascii="Times New Roman" w:hAnsi="Times New Roman"/>
          <w:b/>
          <w:i w:val="false"/>
          <w:color w:val="000000"/>
          <w:sz w:val="22"/>
        </w:rPr>
        <w:t xml:space="preserve">Entrepreneurial training. </w:t>
      </w:r>
      <w:r>
        <w:rPr>
          <w:rFonts w:ascii="Times New Roman" w:hAnsi="Times New Roman"/>
          <w:b w:val="false"/>
          <w:i w:val="false"/>
          <w:color w:val="000000"/>
          <w:sz w:val="22"/>
        </w:rPr>
        <w:t xml:space="preserve">Rescinded </w:t>
      </w:r>
      <w:r>
        <w:rPr>
          <w:rFonts w:ascii="Times New Roman" w:hAnsi="Times New Roman"/>
          <w:b/>
          <w:i w:val="false"/>
          <w:color w:val="000000"/>
          <w:sz w:val="22"/>
        </w:rPr>
        <w:t>ARC 3463C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11/22/17</w:t>
      </w:r>
      <w:r>
        <w:rPr>
          <w:rFonts w:ascii="Times New Roman" w:hAnsi="Times New Roman"/>
          <w:b w:val="false"/>
          <w:i w:val="false"/>
          <w:color w:val="000000"/>
          <w:sz w:val="22"/>
        </w:rPr>
        <w:t xml:space="preserve">, effective 12/27/17. </w:t>
      </w:r>
    </w:p>
    <w:p>
      <w:pPr>
        <w:spacing w:before="0" w:after="0"/>
        <w:ind w:left="120"/>
        <w:jc w:val="both"/>
      </w:pPr>
      <w:r>
        <w:rPr>
          <w:rFonts w:ascii="Times New Roman" w:hAnsi="Times New Roman"/>
          <w:b/>
          <w:i w:val="false"/>
          <w:color w:val="000000"/>
          <w:sz w:val="22"/>
        </w:rPr>
        <w:t>877—17.18</w:t>
      </w:r>
      <w:r>
        <w:rPr>
          <w:rFonts w:ascii="Times New Roman" w:hAnsi="Times New Roman"/>
          <w:b/>
          <w:i w:val="false"/>
          <w:color w:val="000000"/>
          <w:sz w:val="22"/>
        </w:rPr>
        <w:t xml:space="preserve">(260F) </w:t>
      </w:r>
      <w:r>
        <w:rPr>
          <w:rFonts w:ascii="Times New Roman" w:hAnsi="Times New Roman"/>
          <w:b/>
          <w:i w:val="false"/>
          <w:color w:val="000000"/>
          <w:sz w:val="22"/>
        </w:rPr>
        <w:t xml:space="preserve">Letter of intent.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17.18(1)</w:t>
      </w:r>
      <w:r>
        <w:rPr>
          <w:rFonts w:ascii="Times New Roman" w:hAnsi="Times New Roman"/>
          <w:b w:val="false"/>
          <w:i w:val="false"/>
          <w:color w:val="000000"/>
          <w:sz w:val="22"/>
        </w:rPr>
        <w:t> </w:t>
      </w:r>
      <w:r>
        <w:rPr>
          <w:rFonts w:ascii="Times New Roman" w:hAnsi="Times New Roman"/>
          <w:b w:val="false"/>
          <w:i w:val="false"/>
          <w:color w:val="000000"/>
          <w:sz w:val="22"/>
        </w:rPr>
        <w:t>A letter of intent allows training to start on a specific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17.18(2)</w:t>
      </w:r>
      <w:r>
        <w:rPr>
          <w:rFonts w:ascii="Times New Roman" w:hAnsi="Times New Roman"/>
          <w:b w:val="false"/>
          <w:i w:val="false"/>
          <w:color w:val="000000"/>
          <w:sz w:val="22"/>
        </w:rPr>
        <w:t> </w:t>
      </w:r>
      <w:r>
        <w:rPr>
          <w:rFonts w:ascii="Times New Roman" w:hAnsi="Times New Roman"/>
          <w:b w:val="false"/>
          <w:i w:val="false"/>
          <w:color w:val="000000"/>
          <w:sz w:val="22"/>
        </w:rPr>
        <w:t>A community college and a business or apprenticeship sponsor may, but are not required to, enter into a letter of intent.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17.18(3)</w:t>
      </w:r>
      <w:r>
        <w:rPr>
          <w:rFonts w:ascii="Times New Roman" w:hAnsi="Times New Roman"/>
          <w:b w:val="false"/>
          <w:i w:val="false"/>
          <w:color w:val="000000"/>
          <w:sz w:val="22"/>
        </w:rPr>
        <w:t> </w:t>
      </w:r>
      <w:r>
        <w:rPr>
          <w:rFonts w:ascii="Times New Roman" w:hAnsi="Times New Roman"/>
          <w:b w:val="false"/>
          <w:i w:val="false"/>
          <w:color w:val="000000"/>
          <w:sz w:val="22"/>
        </w:rPr>
        <w:t>A community college and a business which enter into a letter of intent shall use Letter of Intent, Form 260F-2. A college and an apprenticeship sponsor which enter into a letter of intent shall use Apprenticeship Letter of Intent, Form 260F-2A.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17.18(4)</w:t>
      </w:r>
      <w:r>
        <w:rPr>
          <w:rFonts w:ascii="Times New Roman" w:hAnsi="Times New Roman"/>
          <w:b w:val="false"/>
          <w:i w:val="false"/>
          <w:color w:val="000000"/>
          <w:sz w:val="22"/>
        </w:rPr>
        <w:t> </w:t>
      </w:r>
      <w:r>
        <w:rPr>
          <w:rFonts w:ascii="Times New Roman" w:hAnsi="Times New Roman"/>
          <w:b w:val="false"/>
          <w:i w:val="false"/>
          <w:color w:val="000000"/>
          <w:sz w:val="22"/>
        </w:rPr>
        <w:t xml:space="preserve"> A letter of intent shall remain in effect for a maximum of one calendar year from the date of the letter. A letter of intent for one project does not establish the commencement date for subsequent projects.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877—17.19</w:t>
      </w:r>
      <w:r>
        <w:rPr>
          <w:rFonts w:ascii="Times New Roman" w:hAnsi="Times New Roman"/>
          <w:b/>
          <w:i w:val="false"/>
          <w:color w:val="000000"/>
          <w:sz w:val="22"/>
        </w:rPr>
        <w:t xml:space="preserve">(260F) </w:t>
      </w:r>
      <w:r>
        <w:rPr>
          <w:rFonts w:ascii="Times New Roman" w:hAnsi="Times New Roman"/>
          <w:b/>
          <w:i w:val="false"/>
          <w:color w:val="000000"/>
          <w:sz w:val="22"/>
        </w:rPr>
        <w:t xml:space="preserve">Project commencement date. </w:t>
      </w:r>
      <w:r>
        <w:rPr>
          <w:rFonts w:ascii="Times New Roman" w:hAnsi="Times New Roman"/>
          <w:b w:val="false"/>
          <w:i w:val="false"/>
          <w:color w:val="000000"/>
          <w:sz w:val="22"/>
        </w:rPr>
        <w:t>The earliest date on which program funds may be used to pay training expenses incurred by the project is the effective date of the agreement of intent or the date the application is received by the authority, whichever is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877—17.20</w:t>
      </w:r>
      <w:r>
        <w:rPr>
          <w:rFonts w:ascii="Times New Roman" w:hAnsi="Times New Roman"/>
          <w:b/>
          <w:i w:val="false"/>
          <w:color w:val="000000"/>
          <w:sz w:val="22"/>
        </w:rPr>
        <w:t xml:space="preserve">(260F)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17.20(1)</w:t>
      </w:r>
      <w:r>
        <w:rPr>
          <w:rFonts w:ascii="Times New Roman" w:hAnsi="Times New Roman"/>
          <w:b w:val="false"/>
          <w:i w:val="false"/>
          <w:color w:val="000000"/>
          <w:sz w:val="22"/>
        </w:rPr>
        <w:t> </w:t>
      </w:r>
      <w:r>
        <w:rPr>
          <w:rFonts w:ascii="Times New Roman" w:hAnsi="Times New Roman"/>
          <w:b w:val="false"/>
          <w:i w:val="false"/>
          <w:color w:val="000000"/>
          <w:sz w:val="22"/>
        </w:rPr>
        <w:t>An application for training assistance must be submitted to the authority by a community college on behalf of a business or apprenticeship sponsor. An application shall not be accepted by the authority if submitted directly by a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17.20(2)</w:t>
      </w:r>
      <w:r>
        <w:rPr>
          <w:rFonts w:ascii="Times New Roman" w:hAnsi="Times New Roman"/>
          <w:b w:val="false"/>
          <w:i w:val="false"/>
          <w:color w:val="000000"/>
          <w:sz w:val="22"/>
        </w:rPr>
        <w:t> </w:t>
      </w:r>
      <w:r>
        <w:rPr>
          <w:rFonts w:ascii="Times New Roman" w:hAnsi="Times New Roman"/>
          <w:b w:val="false"/>
          <w:i w:val="false"/>
          <w:color w:val="000000"/>
          <w:sz w:val="22"/>
        </w:rPr>
        <w:t>Community colleges shall use Application for Assistance, available in the 260F data system, to apply for 260F business assistance. Apprenticeship Application for Assistance, Form 260F-1D, shall be used for apprenticeship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17.20(3)</w:t>
      </w:r>
      <w:r>
        <w:rPr>
          <w:rFonts w:ascii="Times New Roman" w:hAnsi="Times New Roman"/>
          <w:b w:val="false"/>
          <w:i w:val="false"/>
          <w:color w:val="000000"/>
          <w:sz w:val="22"/>
        </w:rPr>
        <w:t> </w:t>
      </w:r>
      <w:r>
        <w:rPr>
          <w:rFonts w:ascii="Times New Roman" w:hAnsi="Times New Roman"/>
          <w:b w:val="false"/>
          <w:i w:val="false"/>
          <w:color w:val="000000"/>
          <w:sz w:val="22"/>
        </w:rPr>
        <w:t>Required contents of the application will be described in the application package.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17.20(4)</w:t>
      </w:r>
      <w:r>
        <w:rPr>
          <w:rFonts w:ascii="Times New Roman" w:hAnsi="Times New Roman"/>
          <w:b w:val="false"/>
          <w:i w:val="false"/>
          <w:color w:val="000000"/>
          <w:sz w:val="22"/>
        </w:rPr>
        <w:t> </w:t>
      </w:r>
      <w:r>
        <w:rPr>
          <w:rFonts w:ascii="Times New Roman" w:hAnsi="Times New Roman"/>
          <w:b w:val="false"/>
          <w:i w:val="false"/>
          <w:color w:val="000000"/>
          <w:sz w:val="22"/>
        </w:rPr>
        <w:t>Applications must be submitted via the 260F data system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17.20(5)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score applications according to the criteria specified in </w:t>
      </w:r>
      <w:hyperlink r:id="rId20">
        <w:r>
          <w:rPr>
            <w:rStyle w:val="Hyperlink"/>
            <w:rFonts w:ascii="Times New Roman" w:hAnsi="Times New Roman"/>
            <w:b w:val="false"/>
            <w:i w:val="false"/>
            <w:color w:val="000000"/>
            <w:sz w:val="22"/>
          </w:rPr>
          <w:t>261—7.21</w:t>
        </w:r>
      </w:hyperlink>
      <w:r>
        <w:rPr>
          <w:rFonts w:ascii="Times New Roman" w:hAnsi="Times New Roman"/>
          <w:b w:val="false"/>
          <w:i w:val="false"/>
          <w:color w:val="000000"/>
          <w:sz w:val="22"/>
        </w:rPr>
        <w:t>(260F).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17.20(6)</w:t>
      </w:r>
      <w:r>
        <w:rPr>
          <w:rFonts w:ascii="Times New Roman" w:hAnsi="Times New Roman"/>
          <w:b w:val="false"/>
          <w:i w:val="false"/>
          <w:color w:val="000000"/>
          <w:sz w:val="22"/>
        </w:rPr>
        <w:t> </w:t>
      </w:r>
      <w:r>
        <w:rPr>
          <w:rFonts w:ascii="Times New Roman" w:hAnsi="Times New Roman"/>
          <w:b w:val="false"/>
          <w:i w:val="false"/>
          <w:color w:val="000000"/>
          <w:sz w:val="22"/>
        </w:rPr>
        <w:t>To be funded, an application must receive a minimum score of 65 out of a possible 100 points and meet all other eligibility criteria specified elsewhere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17.20(7)</w:t>
      </w:r>
      <w:r>
        <w:rPr>
          <w:rFonts w:ascii="Times New Roman" w:hAnsi="Times New Roman"/>
          <w:b w:val="false"/>
          <w:i w:val="false"/>
          <w:color w:val="000000"/>
          <w:sz w:val="22"/>
        </w:rPr>
        <w:t> </w:t>
      </w:r>
      <w:r>
        <w:rPr>
          <w:rFonts w:ascii="Times New Roman" w:hAnsi="Times New Roman"/>
          <w:b w:val="false"/>
          <w:i w:val="false"/>
          <w:color w:val="000000"/>
          <w:sz w:val="22"/>
        </w:rPr>
        <w:t>The authority may approve, reject, or defer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17.20(8)</w:t>
      </w:r>
      <w:r>
        <w:rPr>
          <w:rFonts w:ascii="Times New Roman" w:hAnsi="Times New Roman"/>
          <w:b w:val="false"/>
          <w:i w:val="false"/>
          <w:color w:val="000000"/>
          <w:sz w:val="22"/>
        </w:rPr>
        <w:t> </w:t>
      </w:r>
      <w:r>
        <w:rPr>
          <w:rFonts w:ascii="Times New Roman" w:hAnsi="Times New Roman"/>
          <w:b w:val="false"/>
          <w:i w:val="false"/>
          <w:color w:val="000000"/>
          <w:sz w:val="22"/>
        </w:rPr>
        <w:t>The authority reserves the right to require additional information from the business or apprenticeship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17.20(9)</w:t>
      </w:r>
      <w:r>
        <w:rPr>
          <w:rFonts w:ascii="Times New Roman" w:hAnsi="Times New Roman"/>
          <w:b w:val="false"/>
          <w:i w:val="false"/>
          <w:color w:val="000000"/>
          <w:sz w:val="22"/>
        </w:rPr>
        <w:t> </w:t>
      </w:r>
      <w:r>
        <w:rPr>
          <w:rFonts w:ascii="Times New Roman" w:hAnsi="Times New Roman"/>
          <w:b w:val="false"/>
          <w:i w:val="false"/>
          <w:color w:val="000000"/>
          <w:sz w:val="22"/>
        </w:rPr>
        <w:t>Application approval shall be contingent on the availability of funds. The authority shall reject or defer an application if funds are not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877—17.21</w:t>
      </w:r>
      <w:r>
        <w:rPr>
          <w:rFonts w:ascii="Times New Roman" w:hAnsi="Times New Roman"/>
          <w:b/>
          <w:i w:val="false"/>
          <w:color w:val="000000"/>
          <w:sz w:val="22"/>
        </w:rPr>
        <w:t xml:space="preserve">(260F) </w:t>
      </w:r>
      <w:r>
        <w:rPr>
          <w:rFonts w:ascii="Times New Roman" w:hAnsi="Times New Roman"/>
          <w:b/>
          <w:i w:val="false"/>
          <w:color w:val="000000"/>
          <w:sz w:val="22"/>
        </w:rPr>
        <w:t xml:space="preserve">Application scoring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17.21(1)</w:t>
      </w:r>
      <w:r>
        <w:rPr>
          <w:rFonts w:ascii="Times New Roman" w:hAnsi="Times New Roman"/>
          <w:b w:val="false"/>
          <w:i w:val="false"/>
          <w:color w:val="000000"/>
          <w:sz w:val="22"/>
        </w:rPr>
        <w:t> </w:t>
      </w:r>
      <w:r>
        <w:rPr>
          <w:rFonts w:ascii="Times New Roman" w:hAnsi="Times New Roman"/>
          <w:b w:val="false"/>
          <w:i w:val="false"/>
          <w:color w:val="000000"/>
          <w:sz w:val="22"/>
        </w:rPr>
        <w:t>The criteria used for scoring 260F business or consortium applications and the points for each criteria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 has a plan for future potential growth and product diversification.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majority of the business’s employees are permanent full-time.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Average wages for employees are at or above the laborshed wages for the business’s location. 10 points.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business provides a cash match greater than 25 percent (minimum).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application explains why the business needs the training identified in the training plan.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application explains how the training will contribute to the continued existence of the business.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identifies which skills the employees will acquire from the training and how the skills will increase the employees’ marketability. 5 points.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average cost of training per employee is comparable to the cost of training at Iowa community colleges or universities. 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application documents that all considerations, including funding required to begin the training project, have been addressed. 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employer provides health insurance and at least one other employee benefit. 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 skills, knowledge, and abilities will be improved as a result of this training. 10 points.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business’s competitive stance will be improved as a result of this training. 10 points. </w:t>
      </w:r>
    </w:p>
    <w:p>
      <w:pPr>
        <w:spacing w:before="0" w:after="0"/>
        <w:ind w:left="120"/>
        <w:jc w:val="both"/>
      </w:pPr>
      <w:r>
        <w:rPr>
          <w:rFonts w:ascii="Times New Roman" w:hAnsi="Times New Roman"/>
          <w:b w:val="false"/>
          <w:i w:val="false"/>
          <w:color w:val="000000"/>
          <w:sz w:val="22"/>
        </w:rPr>
        <w:t>To be funded, applications must receive a minimum score of 65 out of 100 points and meet all other applicable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17.21(2)</w:t>
      </w:r>
      <w:r>
        <w:rPr>
          <w:rFonts w:ascii="Times New Roman" w:hAnsi="Times New Roman"/>
          <w:b w:val="false"/>
          <w:i w:val="false"/>
          <w:color w:val="000000"/>
          <w:sz w:val="22"/>
        </w:rPr>
        <w:t> </w:t>
      </w:r>
      <w:r>
        <w:rPr>
          <w:rFonts w:ascii="Times New Roman" w:hAnsi="Times New Roman"/>
          <w:b w:val="false"/>
          <w:i w:val="false"/>
          <w:color w:val="000000"/>
          <w:sz w:val="22"/>
        </w:rPr>
        <w:t>The criteria used for scoring an authority-sponsored business network or community college business consortium or community college-sponsored business network application, and the points for each criterion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training will have a positive impact on the skills, knowledge and abilities of trainees, 29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training will help improve the competitive stance of participating businesses or the industry for which training is being provided, 28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training will result in economic benefits for the state, 28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average of the average wage rates for the businesses participating in the project is above the state average wage rate, which will be computed using the current county average wage rates,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project cost of training per employee does not exceed comparable costs for training at a state of Iowa community college or university, 5 points.</w:t>
      </w:r>
    </w:p>
    <w:p>
      <w:pPr>
        <w:spacing w:before="0" w:after="0"/>
        <w:ind w:left="120"/>
        <w:jc w:val="both"/>
      </w:pPr>
      <w:r>
        <w:rPr>
          <w:rFonts w:ascii="Times New Roman" w:hAnsi="Times New Roman"/>
          <w:b w:val="false"/>
          <w:i w:val="false"/>
          <w:color w:val="000000"/>
          <w:sz w:val="22"/>
        </w:rPr>
        <w:t>To be funded, applications must receive a minimum score of 65 out of 100 points and meet all other applicable eligibility criteria. Authority-sponsored business network applications which receive a minimum score of 65 out of 100 points will be referred to the authority board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17.21(3)</w:t>
      </w:r>
      <w:r>
        <w:rPr>
          <w:rFonts w:ascii="Times New Roman" w:hAnsi="Times New Roman"/>
          <w:b w:val="false"/>
          <w:i w:val="false"/>
          <w:color w:val="000000"/>
          <w:sz w:val="22"/>
        </w:rPr>
        <w:t> </w:t>
      </w:r>
      <w:r>
        <w:rPr>
          <w:rFonts w:ascii="Times New Roman" w:hAnsi="Times New Roman"/>
          <w:b w:val="false"/>
          <w:i w:val="false"/>
          <w:color w:val="000000"/>
          <w:sz w:val="22"/>
        </w:rPr>
        <w:t>The criteria used for scoring a community college-sponsored high technology apprenticeship or an authority-sponsored high technology apprenticeship application and the points for each criterion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represents high technology area training, 20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shall identify the occupation or occupations for which training will be provided from the list of occupations in the Iowa workforce development annual wage survey. The most recent Iowa workforce development Iowa statewide wage survey average wage rate for the occupation(s) as identified shall be compared to the lowest of the average wage rate for the county or region where the training is to be provided. Ten points will be awarded if the wage rate for the occupation(s) exceeds the lowest of the average wage rates for the county or region. If the program will be providing training for more than one occupation or be conducted in more than one location, the points shall be awarded on a prorated basis by occupation and location. “Region” is the service delivery area as defined in Iowa Code section </w:t>
      </w:r>
      <w:hyperlink r:id="rId21">
        <w:r>
          <w:rPr>
            <w:rStyle w:val="Hyperlink"/>
            <w:rFonts w:ascii="Times New Roman" w:hAnsi="Times New Roman"/>
            <w:b w:val="false"/>
            <w:i w:val="false"/>
            <w:color w:val="000000"/>
            <w:sz w:val="22"/>
          </w:rPr>
          <w:t>84B.2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New skills which employees acquire from the training program will increase the marketability of successful program participants, 20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has established the need for training, 20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cost of training per trainee does not exceed comparable costs for training at a state of Iowa community college or university, 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application documents that all considerations, including funding required to begin the training project, have been addressed, 10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application establishes a positive impact on the state’s workforce competitiveness, 15 points.</w:t>
      </w:r>
    </w:p>
    <w:p>
      <w:pPr>
        <w:spacing w:before="0" w:after="0"/>
        <w:ind w:left="120"/>
        <w:jc w:val="both"/>
      </w:pPr>
      <w:r>
        <w:rPr>
          <w:rFonts w:ascii="Times New Roman" w:hAnsi="Times New Roman"/>
          <w:b w:val="false"/>
          <w:i w:val="false"/>
          <w:color w:val="000000"/>
          <w:sz w:val="22"/>
        </w:rPr>
        <w:t>To be funded, applications must receive a minimum score of 65 out of 100 points and meet all other applicable eligibility criteria. Authority-sponsored high technology apprenticeship applications which receive a minimum score of 65 out of 100 points will be referred to the authority board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17.21(4)</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11/22/17</w:t>
      </w:r>
      <w:r>
        <w:rPr>
          <w:rFonts w:ascii="Times New Roman" w:hAnsi="Times New Roman"/>
          <w:b w:val="false"/>
          <w:i w:val="false"/>
          <w:color w:val="000000"/>
          <w:sz w:val="22"/>
        </w:rPr>
        <w:t>, effective 12/27/17.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877—17.22</w:t>
      </w:r>
      <w:r>
        <w:rPr>
          <w:rFonts w:ascii="Times New Roman" w:hAnsi="Times New Roman"/>
          <w:b/>
          <w:i w:val="false"/>
          <w:color w:val="000000"/>
          <w:sz w:val="22"/>
        </w:rPr>
        <w:t xml:space="preserve">(260F) </w:t>
      </w:r>
      <w:r>
        <w:rPr>
          <w:rFonts w:ascii="Times New Roman" w:hAnsi="Times New Roman"/>
          <w:b/>
          <w:i w:val="false"/>
          <w:color w:val="000000"/>
          <w:sz w:val="22"/>
        </w:rPr>
        <w:t xml:space="preserve">Training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17.22(1)</w:t>
      </w:r>
      <w:r>
        <w:rPr>
          <w:rFonts w:ascii="Times New Roman" w:hAnsi="Times New Roman"/>
          <w:b w:val="false"/>
          <w:i w:val="false"/>
          <w:color w:val="000000"/>
          <w:sz w:val="22"/>
        </w:rPr>
        <w:t> </w:t>
      </w:r>
      <w:r>
        <w:rPr>
          <w:rFonts w:ascii="Times New Roman" w:hAnsi="Times New Roman"/>
          <w:b w:val="false"/>
          <w:i w:val="false"/>
          <w:color w:val="000000"/>
          <w:sz w:val="22"/>
        </w:rPr>
        <w:t>A community college shall enter into a training agreement with the business(es), lead business, lead organization, apprenticeship sponsor(s), or lead apprenticeship sponsor within 90 days of written notice of application approval from the authority, using Training Agreement, Form 260F-4, for 260F business-driven projects and using Form 260F-4D for apprenticeship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17.22(2)</w:t>
      </w:r>
      <w:r>
        <w:rPr>
          <w:rFonts w:ascii="Times New Roman" w:hAnsi="Times New Roman"/>
          <w:b w:val="false"/>
          <w:i w:val="false"/>
          <w:color w:val="000000"/>
          <w:sz w:val="22"/>
        </w:rPr>
        <w:t> </w:t>
      </w:r>
      <w:r>
        <w:rPr>
          <w:rFonts w:ascii="Times New Roman" w:hAnsi="Times New Roman"/>
          <w:b w:val="false"/>
          <w:i w:val="false"/>
          <w:color w:val="000000"/>
          <w:sz w:val="22"/>
        </w:rPr>
        <w:t>A business or apprenticeship sponsor shall not modify any provision of the agreement without the written approval of the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17.22(3)</w:t>
      </w:r>
      <w:r>
        <w:rPr>
          <w:rFonts w:ascii="Times New Roman" w:hAnsi="Times New Roman"/>
          <w:b w:val="false"/>
          <w:i w:val="false"/>
          <w:color w:val="000000"/>
          <w:sz w:val="22"/>
        </w:rPr>
        <w:t> </w:t>
      </w:r>
      <w:r>
        <w:rPr>
          <w:rFonts w:ascii="Times New Roman" w:hAnsi="Times New Roman"/>
          <w:b w:val="false"/>
          <w:i w:val="false"/>
          <w:color w:val="000000"/>
          <w:sz w:val="22"/>
        </w:rPr>
        <w:t>The community college, with the written consent of the business or apprenticeship sponsor, has the authority to modify all provisions of the agreement except for 260F business, business network and consortium project modifications which result in a reduction of the number of employees to be trained or which significantly change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17.22(4)</w:t>
      </w:r>
      <w:r>
        <w:rPr>
          <w:rFonts w:ascii="Times New Roman" w:hAnsi="Times New Roman"/>
          <w:b w:val="false"/>
          <w:i w:val="false"/>
          <w:color w:val="000000"/>
          <w:sz w:val="22"/>
        </w:rPr>
        <w:t> </w:t>
      </w:r>
      <w:r>
        <w:rPr>
          <w:rFonts w:ascii="Times New Roman" w:hAnsi="Times New Roman"/>
          <w:b w:val="false"/>
          <w:i w:val="false"/>
          <w:color w:val="000000"/>
          <w:sz w:val="22"/>
        </w:rPr>
        <w:t>The community college and the business or apprenticeship sponsor are authorized to change the ending date of training, training provider, or other minor modifications to the training program. All modifications must be uploaded to the 260F data system prior to the ending date of training. If the modification authorizes a change of the ending date of training, the modification must be uploaded to the 260F data system prior to the original ending date of training. For example, if a training agreement specifies an ending date of training of December 31, 2018, and a community college and business agree to extend the ending date of training to December 31, 2019, then the modification must be uploaded prior to December 31, 2018.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17.22(5)</w:t>
      </w:r>
      <w:r>
        <w:rPr>
          <w:rFonts w:ascii="Times New Roman" w:hAnsi="Times New Roman"/>
          <w:b w:val="false"/>
          <w:i w:val="false"/>
          <w:color w:val="000000"/>
          <w:sz w:val="22"/>
        </w:rPr>
        <w:t> </w:t>
      </w:r>
      <w:r>
        <w:rPr>
          <w:rFonts w:ascii="Times New Roman" w:hAnsi="Times New Roman"/>
          <w:b w:val="false"/>
          <w:i w:val="false"/>
          <w:color w:val="000000"/>
          <w:sz w:val="22"/>
        </w:rPr>
        <w:t>Modifications of 260F business, business network and consortium projects which result in a reduction of the number of employees to be trained or change the training program content must be approved by the authority, community college, and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agreement shall not be modified in any way that would result in a violation of Iowa Code chapter </w:t>
      </w:r>
      <w:hyperlink r:id="rId22">
        <w:r>
          <w:rPr>
            <w:rStyle w:val="Hyperlink"/>
            <w:rFonts w:ascii="Times New Roman" w:hAnsi="Times New Roman"/>
            <w:b w:val="false"/>
            <w:i w:val="false"/>
            <w:color w:val="000000"/>
            <w:sz w:val="22"/>
          </w:rPr>
          <w:t>260F</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17.22(7)</w:t>
      </w:r>
      <w:r>
        <w:rPr>
          <w:rFonts w:ascii="Times New Roman" w:hAnsi="Times New Roman"/>
          <w:b w:val="false"/>
          <w:i w:val="false"/>
          <w:color w:val="000000"/>
          <w:sz w:val="22"/>
        </w:rPr>
        <w:t> </w:t>
      </w:r>
      <w:r>
        <w:rPr>
          <w:rFonts w:ascii="Times New Roman" w:hAnsi="Times New Roman"/>
          <w:b w:val="false"/>
          <w:i w:val="false"/>
          <w:color w:val="000000"/>
          <w:sz w:val="22"/>
        </w:rPr>
        <w:t>Lead businesses, lead apprenticeship sponsors and lead organizations that choose to be the only signatory on the training contract for an authority-sponsored business network, community college-sponsored business network, authority-sponsored apprenticeship or community college-sponsored apprenticeship project shall be responsible for all default and reporting requirements on behalf of the other businesses or apprenticeship sponsors participating in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877—17.23</w:t>
      </w:r>
      <w:r>
        <w:rPr>
          <w:rFonts w:ascii="Times New Roman" w:hAnsi="Times New Roman"/>
          <w:b/>
          <w:i w:val="false"/>
          <w:color w:val="000000"/>
          <w:sz w:val="22"/>
        </w:rPr>
        <w:t xml:space="preserve">(260F) </w:t>
      </w:r>
      <w:r>
        <w:rPr>
          <w:rFonts w:ascii="Times New Roman" w:hAnsi="Times New Roman"/>
          <w:b/>
          <w:i w:val="false"/>
          <w:color w:val="000000"/>
          <w:sz w:val="22"/>
        </w:rPr>
        <w:t xml:space="preserve">Special requirements for community college consortium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17.23(1)</w:t>
      </w:r>
      <w:r>
        <w:rPr>
          <w:rFonts w:ascii="Times New Roman" w:hAnsi="Times New Roman"/>
          <w:b w:val="false"/>
          <w:i w:val="false"/>
          <w:color w:val="000000"/>
          <w:sz w:val="22"/>
        </w:rPr>
        <w:t> </w:t>
      </w:r>
      <w:r>
        <w:rPr>
          <w:rFonts w:ascii="Times New Roman" w:hAnsi="Times New Roman"/>
          <w:b w:val="false"/>
          <w:i w:val="false"/>
          <w:color w:val="000000"/>
          <w:sz w:val="22"/>
        </w:rPr>
        <w:t>The community college shall submit Consortium Application for Assistance, available on the 260F data system, to the authority for project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17.23(2)</w:t>
      </w:r>
      <w:r>
        <w:rPr>
          <w:rFonts w:ascii="Times New Roman" w:hAnsi="Times New Roman"/>
          <w:b w:val="false"/>
          <w:i w:val="false"/>
          <w:color w:val="000000"/>
          <w:sz w:val="22"/>
        </w:rPr>
        <w:t> </w:t>
      </w:r>
      <w:r>
        <w:rPr>
          <w:rFonts w:ascii="Times New Roman" w:hAnsi="Times New Roman"/>
          <w:b w:val="false"/>
          <w:i w:val="false"/>
          <w:color w:val="000000"/>
          <w:sz w:val="22"/>
        </w:rPr>
        <w:t>The community college shall enter into a training agreement with the consortium within 90 days of written notice of application approval from the authority, using Consortium Training Agreement, Form 260F-4A.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17.23(3)</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default provisions specified in </w:t>
      </w:r>
      <w:hyperlink r:id="rId23">
        <w:r>
          <w:rPr>
            <w:rStyle w:val="Hyperlink"/>
            <w:rFonts w:ascii="Times New Roman" w:hAnsi="Times New Roman"/>
            <w:b w:val="false"/>
            <w:i w:val="false"/>
            <w:color w:val="000000"/>
            <w:sz w:val="22"/>
          </w:rPr>
          <w:t>261—7.30</w:t>
        </w:r>
      </w:hyperlink>
      <w:r>
        <w:rPr>
          <w:rFonts w:ascii="Times New Roman" w:hAnsi="Times New Roman"/>
          <w:b w:val="false"/>
          <w:i w:val="false"/>
          <w:color w:val="000000"/>
          <w:sz w:val="22"/>
        </w:rPr>
        <w:t>(260F) shall apply to consortium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17.23(4)</w:t>
      </w:r>
      <w:r>
        <w:rPr>
          <w:rFonts w:ascii="Times New Roman" w:hAnsi="Times New Roman"/>
          <w:b w:val="false"/>
          <w:i w:val="false"/>
          <w:color w:val="000000"/>
          <w:sz w:val="22"/>
        </w:rPr>
        <w:t> </w:t>
      </w:r>
      <w:r>
        <w:rPr>
          <w:rFonts w:ascii="Times New Roman" w:hAnsi="Times New Roman"/>
          <w:b w:val="false"/>
          <w:i w:val="false"/>
          <w:color w:val="000000"/>
          <w:sz w:val="22"/>
        </w:rPr>
        <w:t>In the event of a default, a financial penalty will be assigned by the authority to the consortium business or businesses identified by the community college as being responsible for the default.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17.23(5)</w:t>
      </w:r>
      <w:r>
        <w:rPr>
          <w:rFonts w:ascii="Times New Roman" w:hAnsi="Times New Roman"/>
          <w:b w:val="false"/>
          <w:i w:val="false"/>
          <w:color w:val="000000"/>
          <w:sz w:val="22"/>
        </w:rPr>
        <w:t> </w:t>
      </w:r>
      <w:r>
        <w:rPr>
          <w:rFonts w:ascii="Times New Roman" w:hAnsi="Times New Roman"/>
          <w:b w:val="false"/>
          <w:i w:val="false"/>
          <w:color w:val="000000"/>
          <w:sz w:val="22"/>
        </w:rPr>
        <w:t>Each business that participates in the consortium shall complete a Final Performance Report, Form 260F-5, at the completion of training as a condition of the loan’s being forgiven.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877—17.24</w:t>
      </w:r>
      <w:r>
        <w:rPr>
          <w:rFonts w:ascii="Times New Roman" w:hAnsi="Times New Roman"/>
          <w:b/>
          <w:i w:val="false"/>
          <w:color w:val="000000"/>
          <w:sz w:val="22"/>
        </w:rPr>
        <w:t xml:space="preserve">(260F) </w:t>
      </w:r>
      <w:r>
        <w:rPr>
          <w:rFonts w:ascii="Times New Roman" w:hAnsi="Times New Roman"/>
          <w:b/>
          <w:i w:val="false"/>
          <w:color w:val="000000"/>
          <w:sz w:val="22"/>
        </w:rPr>
        <w:t xml:space="preserve">Special requirements for community college-sponsored business network projects. </w:t>
      </w:r>
      <w:r>
        <w:rPr>
          <w:rFonts w:ascii="Times New Roman" w:hAnsi="Times New Roman"/>
          <w:b w:val="false"/>
          <w:i w:val="false"/>
          <w:color w:val="000000"/>
          <w:sz w:val="22"/>
        </w:rPr>
        <w:t>The community colleges and the authority are authorized to fund business network training projects which include five or more businesses and are located in two or more community college districts. A business network training project must have a designated organization or lead business to serve as the administrative entity that will coordinate the training program. The businesses must have common training needs and develop a plan to meet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17.24(1)</w:t>
      </w:r>
      <w:r>
        <w:rPr>
          <w:rFonts w:ascii="Times New Roman" w:hAnsi="Times New Roman"/>
          <w:b w:val="false"/>
          <w:i w:val="false"/>
          <w:color w:val="000000"/>
          <w:sz w:val="22"/>
        </w:rPr>
        <w:t> </w:t>
      </w:r>
      <w:r>
        <w:rPr>
          <w:rFonts w:ascii="Times New Roman" w:hAnsi="Times New Roman"/>
          <w:b w:val="false"/>
          <w:i w:val="false"/>
          <w:color w:val="000000"/>
          <w:sz w:val="22"/>
        </w:rPr>
        <w:t>A business network must have a designated community college to serve as the project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17.24(2)</w:t>
      </w:r>
      <w:r>
        <w:rPr>
          <w:rFonts w:ascii="Times New Roman" w:hAnsi="Times New Roman"/>
          <w:b w:val="false"/>
          <w:i w:val="false"/>
          <w:color w:val="000000"/>
          <w:sz w:val="22"/>
        </w:rPr>
        <w:t> </w:t>
      </w:r>
      <w:r>
        <w:rPr>
          <w:rFonts w:ascii="Times New Roman" w:hAnsi="Times New Roman"/>
          <w:b w:val="false"/>
          <w:i w:val="false"/>
          <w:color w:val="000000"/>
          <w:sz w:val="22"/>
        </w:rPr>
        <w:t>The designated community college shall serve as the network’s representative and shall serve as the authority’s contact regarding all project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17.24(3)</w:t>
      </w:r>
      <w:r>
        <w:rPr>
          <w:rFonts w:ascii="Times New Roman" w:hAnsi="Times New Roman"/>
          <w:b w:val="false"/>
          <w:i w:val="false"/>
          <w:color w:val="000000"/>
          <w:sz w:val="22"/>
        </w:rPr>
        <w:t> </w:t>
      </w:r>
      <w:r>
        <w:rPr>
          <w:rFonts w:ascii="Times New Roman" w:hAnsi="Times New Roman"/>
          <w:b w:val="false"/>
          <w:i w:val="false"/>
          <w:color w:val="000000"/>
          <w:sz w:val="22"/>
        </w:rPr>
        <w:t>The participating community colleges shall select one college as the project’s designated organization and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17.24(4)</w:t>
      </w:r>
      <w:r>
        <w:rPr>
          <w:rFonts w:ascii="Times New Roman" w:hAnsi="Times New Roman"/>
          <w:b w:val="false"/>
          <w:i w:val="false"/>
          <w:color w:val="000000"/>
          <w:sz w:val="22"/>
        </w:rPr>
        <w:t> </w:t>
      </w:r>
      <w:r>
        <w:rPr>
          <w:rFonts w:ascii="Times New Roman" w:hAnsi="Times New Roman"/>
          <w:b w:val="false"/>
          <w:i w:val="false"/>
          <w:color w:val="000000"/>
          <w:sz w:val="22"/>
        </w:rPr>
        <w:t>Business Network Application for Assistance, Form 260F-1B, shall be signed by each participating community college and shall be submitted by the designated community college to the authority for project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17.24(5)</w:t>
      </w:r>
      <w:r>
        <w:rPr>
          <w:rFonts w:ascii="Times New Roman" w:hAnsi="Times New Roman"/>
          <w:b w:val="false"/>
          <w:i w:val="false"/>
          <w:color w:val="000000"/>
          <w:sz w:val="22"/>
        </w:rPr>
        <w:t> </w:t>
      </w:r>
      <w:r>
        <w:rPr>
          <w:rFonts w:ascii="Times New Roman" w:hAnsi="Times New Roman"/>
          <w:b w:val="false"/>
          <w:i w:val="false"/>
          <w:color w:val="000000"/>
          <w:sz w:val="22"/>
        </w:rPr>
        <w:t>The designated community college shall enter into a training contract with the business network within 90 days of written notice of application approval from the authority, using Business Network Training Contract, Form 260F-4B.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17.24(6)</w:t>
      </w:r>
      <w:r>
        <w:rPr>
          <w:rFonts w:ascii="Times New Roman" w:hAnsi="Times New Roman"/>
          <w:b w:val="false"/>
          <w:i w:val="false"/>
          <w:color w:val="000000"/>
          <w:sz w:val="22"/>
        </w:rPr>
        <w:t> </w:t>
      </w:r>
      <w:r>
        <w:rPr>
          <w:rFonts w:ascii="Times New Roman" w:hAnsi="Times New Roman"/>
          <w:b w:val="false"/>
          <w:i w:val="false"/>
          <w:color w:val="000000"/>
          <w:sz w:val="22"/>
        </w:rPr>
        <w:t>All authority communications concerning a business network project, including notice of project approval or denial and issuance of financial awards, shall be with the designated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17.24(7)</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default provisions specified in </w:t>
      </w:r>
      <w:hyperlink r:id="rId24">
        <w:r>
          <w:rPr>
            <w:rStyle w:val="Hyperlink"/>
            <w:rFonts w:ascii="Times New Roman" w:hAnsi="Times New Roman"/>
            <w:b w:val="false"/>
            <w:i w:val="false"/>
            <w:color w:val="000000"/>
            <w:sz w:val="22"/>
          </w:rPr>
          <w:t>261—7.30</w:t>
        </w:r>
      </w:hyperlink>
      <w:r>
        <w:rPr>
          <w:rFonts w:ascii="Times New Roman" w:hAnsi="Times New Roman"/>
          <w:b w:val="false"/>
          <w:i w:val="false"/>
          <w:color w:val="000000"/>
          <w:sz w:val="22"/>
        </w:rPr>
        <w:t>(260F) shall apply to college-sponsored business network training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17.24(8)</w:t>
      </w:r>
      <w:r>
        <w:rPr>
          <w:rFonts w:ascii="Times New Roman" w:hAnsi="Times New Roman"/>
          <w:b w:val="false"/>
          <w:i w:val="false"/>
          <w:color w:val="000000"/>
          <w:sz w:val="22"/>
        </w:rPr>
        <w:t> </w:t>
      </w:r>
      <w:r>
        <w:rPr>
          <w:rFonts w:ascii="Times New Roman" w:hAnsi="Times New Roman"/>
          <w:b w:val="false"/>
          <w:i w:val="false"/>
          <w:color w:val="000000"/>
          <w:sz w:val="22"/>
        </w:rPr>
        <w:t>In the event of a default, a financial penalty will be assigned by the authority to the network business or businesses identified by the designated community college as being responsible for the default.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17.24(9)</w:t>
      </w:r>
      <w:r>
        <w:rPr>
          <w:rFonts w:ascii="Times New Roman" w:hAnsi="Times New Roman"/>
          <w:b w:val="false"/>
          <w:i w:val="false"/>
          <w:color w:val="000000"/>
          <w:sz w:val="22"/>
        </w:rPr>
        <w:t> </w:t>
      </w:r>
      <w:r>
        <w:rPr>
          <w:rFonts w:ascii="Times New Roman" w:hAnsi="Times New Roman"/>
          <w:b w:val="false"/>
          <w:i w:val="false"/>
          <w:color w:val="000000"/>
          <w:sz w:val="22"/>
        </w:rPr>
        <w:t>Each business that participates in the network shall complete a Final Performance Report, Form 260F-5, at the completion of training as a condition of the loan’s being forgiven.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17.24(10)</w:t>
      </w:r>
      <w:r>
        <w:rPr>
          <w:rFonts w:ascii="Times New Roman" w:hAnsi="Times New Roman"/>
          <w:b w:val="false"/>
          <w:i w:val="false"/>
          <w:color w:val="000000"/>
          <w:sz w:val="22"/>
        </w:rPr>
        <w:t> </w:t>
      </w:r>
      <w:r>
        <w:rPr>
          <w:rFonts w:ascii="Times New Roman" w:hAnsi="Times New Roman"/>
          <w:b w:val="false"/>
          <w:i w:val="false"/>
          <w:color w:val="000000"/>
          <w:sz w:val="22"/>
        </w:rPr>
        <w:t>In the case of business network training assistance, the authority shall make a good faith effort to determine the probability that the proposed project will cause the displacement of employees of existing Iowa businesses. Any business network training project which would have the effect of displacing employees of existing Iowa end-product manufacturers shall not be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877—17.25</w:t>
      </w:r>
      <w:r>
        <w:rPr>
          <w:rFonts w:ascii="Times New Roman" w:hAnsi="Times New Roman"/>
          <w:b/>
          <w:i w:val="false"/>
          <w:color w:val="000000"/>
          <w:sz w:val="22"/>
        </w:rPr>
        <w:t xml:space="preserve">(260F) </w:t>
      </w:r>
      <w:r>
        <w:rPr>
          <w:rFonts w:ascii="Times New Roman" w:hAnsi="Times New Roman"/>
          <w:b/>
          <w:i w:val="false"/>
          <w:color w:val="000000"/>
          <w:sz w:val="22"/>
        </w:rPr>
        <w:t xml:space="preserve">Special requirements for authority-sponsored business network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17.25(1)</w:t>
      </w:r>
      <w:r>
        <w:rPr>
          <w:rFonts w:ascii="Times New Roman" w:hAnsi="Times New Roman"/>
          <w:b w:val="false"/>
          <w:i w:val="false"/>
          <w:color w:val="000000"/>
          <w:sz w:val="22"/>
        </w:rPr>
        <w:t> </w:t>
      </w:r>
      <w:r>
        <w:rPr>
          <w:rFonts w:ascii="Times New Roman" w:hAnsi="Times New Roman"/>
          <w:b w:val="false"/>
          <w:i w:val="false"/>
          <w:color w:val="000000"/>
          <w:sz w:val="22"/>
        </w:rPr>
        <w:t>Eligible applicants include a group of businesses who will be the beneficiaries of the proposed training program, a trade association, a labor organization, or other incorporated entity representing a group of businesses.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17.25(2)</w:t>
      </w:r>
      <w:r>
        <w:rPr>
          <w:rFonts w:ascii="Times New Roman" w:hAnsi="Times New Roman"/>
          <w:b w:val="false"/>
          <w:i w:val="false"/>
          <w:color w:val="000000"/>
          <w:sz w:val="22"/>
        </w:rPr>
        <w:t> </w:t>
      </w:r>
      <w:r>
        <w:rPr>
          <w:rFonts w:ascii="Times New Roman" w:hAnsi="Times New Roman"/>
          <w:b w:val="false"/>
          <w:i w:val="false"/>
          <w:color w:val="000000"/>
          <w:sz w:val="22"/>
        </w:rPr>
        <w:t>Each project shall designate a lead organization or business which shall serve as the project’s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17.25(3)</w:t>
      </w:r>
      <w:r>
        <w:rPr>
          <w:rFonts w:ascii="Times New Roman" w:hAnsi="Times New Roman"/>
          <w:b w:val="false"/>
          <w:i w:val="false"/>
          <w:color w:val="000000"/>
          <w:sz w:val="22"/>
        </w:rPr>
        <w:t> </w:t>
      </w:r>
      <w:r>
        <w:rPr>
          <w:rFonts w:ascii="Times New Roman" w:hAnsi="Times New Roman"/>
          <w:b w:val="false"/>
          <w:i w:val="false"/>
          <w:color w:val="000000"/>
          <w:sz w:val="22"/>
        </w:rPr>
        <w:t>An individual project may not be funded for more than three fiscal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17.25(4)</w:t>
      </w:r>
      <w:r>
        <w:rPr>
          <w:rFonts w:ascii="Times New Roman" w:hAnsi="Times New Roman"/>
          <w:b w:val="false"/>
          <w:i w:val="false"/>
          <w:color w:val="000000"/>
          <w:sz w:val="22"/>
        </w:rPr>
        <w:t> </w:t>
      </w:r>
      <w:r>
        <w:rPr>
          <w:rFonts w:ascii="Times New Roman" w:hAnsi="Times New Roman"/>
          <w:b w:val="false"/>
          <w:i w:val="false"/>
          <w:color w:val="000000"/>
          <w:sz w:val="22"/>
        </w:rPr>
        <w:t>Administrative costs shall be limited to 15 percent of the total project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17.25(5)</w:t>
      </w:r>
      <w:r>
        <w:rPr>
          <w:rFonts w:ascii="Times New Roman" w:hAnsi="Times New Roman"/>
          <w:b w:val="false"/>
          <w:i w:val="false"/>
          <w:color w:val="000000"/>
          <w:sz w:val="22"/>
        </w:rPr>
        <w:t> </w:t>
      </w:r>
      <w:r>
        <w:rPr>
          <w:rFonts w:ascii="Times New Roman" w:hAnsi="Times New Roman"/>
          <w:b w:val="false"/>
          <w:i w:val="false"/>
          <w:color w:val="000000"/>
          <w:sz w:val="22"/>
        </w:rPr>
        <w:t>All administrative costs must be directly related to the project’s operation, including but not limited to the costs of schedule coordination, securing facilities, and contracting with training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17.25(6)</w:t>
      </w:r>
      <w:r>
        <w:rPr>
          <w:rFonts w:ascii="Times New Roman" w:hAnsi="Times New Roman"/>
          <w:b w:val="false"/>
          <w:i w:val="false"/>
          <w:color w:val="000000"/>
          <w:sz w:val="22"/>
        </w:rPr>
        <w:t> </w:t>
      </w:r>
      <w:r>
        <w:rPr>
          <w:rFonts w:ascii="Times New Roman" w:hAnsi="Times New Roman"/>
          <w:b w:val="false"/>
          <w:i w:val="false"/>
          <w:color w:val="000000"/>
          <w:sz w:val="22"/>
        </w:rPr>
        <w:t>The lead organization or business shall submit Business Network Application for Assistance, Form 260F-1C, to the authority for project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17.25(7)</w:t>
      </w:r>
      <w:r>
        <w:rPr>
          <w:rFonts w:ascii="Times New Roman" w:hAnsi="Times New Roman"/>
          <w:b w:val="false"/>
          <w:i w:val="false"/>
          <w:color w:val="000000"/>
          <w:sz w:val="22"/>
        </w:rPr>
        <w:t> </w:t>
      </w:r>
      <w:r>
        <w:rPr>
          <w:rFonts w:ascii="Times New Roman" w:hAnsi="Times New Roman"/>
          <w:b w:val="false"/>
          <w:i w:val="false"/>
          <w:color w:val="000000"/>
          <w:sz w:val="22"/>
        </w:rPr>
        <w:t>Applications shall be accepted on a first-come, first-served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17.25(8)</w:t>
      </w:r>
      <w:r>
        <w:rPr>
          <w:rFonts w:ascii="Times New Roman" w:hAnsi="Times New Roman"/>
          <w:b w:val="false"/>
          <w:i w:val="false"/>
          <w:color w:val="000000"/>
          <w:sz w:val="22"/>
        </w:rPr>
        <w:t> </w:t>
      </w:r>
      <w:r>
        <w:rPr>
          <w:rFonts w:ascii="Times New Roman" w:hAnsi="Times New Roman"/>
          <w:b w:val="false"/>
          <w:i w:val="false"/>
          <w:color w:val="000000"/>
          <w:sz w:val="22"/>
        </w:rPr>
        <w:t>Application review shall be based on the positive impact that training will have on the skills, knowledge, and abilities of employees, improved competitive stance of the participating businesses, and economic benefits gained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17.25(9)</w:t>
      </w:r>
      <w:r>
        <w:rPr>
          <w:rFonts w:ascii="Times New Roman" w:hAnsi="Times New Roman"/>
          <w:b w:val="false"/>
          <w:i w:val="false"/>
          <w:color w:val="000000"/>
          <w:sz w:val="22"/>
        </w:rPr>
        <w:t> </w:t>
      </w:r>
      <w:r>
        <w:rPr>
          <w:rFonts w:ascii="Times New Roman" w:hAnsi="Times New Roman"/>
          <w:b w:val="false"/>
          <w:i w:val="false"/>
          <w:color w:val="000000"/>
          <w:sz w:val="22"/>
        </w:rPr>
        <w:t>Application approval is at the discretion of the authority board and shall consider recommendations made by authority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17.25(10)</w:t>
      </w:r>
      <w:r>
        <w:rPr>
          <w:rFonts w:ascii="Times New Roman" w:hAnsi="Times New Roman"/>
          <w:b w:val="false"/>
          <w:i w:val="false"/>
          <w:color w:val="000000"/>
          <w:sz w:val="22"/>
        </w:rPr>
        <w:t> </w:t>
      </w:r>
      <w:r>
        <w:rPr>
          <w:rFonts w:ascii="Times New Roman" w:hAnsi="Times New Roman"/>
          <w:b w:val="false"/>
          <w:i w:val="false"/>
          <w:color w:val="000000"/>
          <w:sz w:val="22"/>
        </w:rPr>
        <w:t>The authority shall enter into a training contract with the business network within 90 days of written notice of application approval from the authority, using Business Network Training Contract, Form 260F-4C.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17.25(11)</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default provisions specified in </w:t>
      </w:r>
      <w:hyperlink r:id="rId25">
        <w:r>
          <w:rPr>
            <w:rStyle w:val="Hyperlink"/>
            <w:rFonts w:ascii="Times New Roman" w:hAnsi="Times New Roman"/>
            <w:b w:val="false"/>
            <w:i w:val="false"/>
            <w:color w:val="000000"/>
            <w:sz w:val="22"/>
          </w:rPr>
          <w:t>261—7.30</w:t>
        </w:r>
      </w:hyperlink>
      <w:r>
        <w:rPr>
          <w:rFonts w:ascii="Times New Roman" w:hAnsi="Times New Roman"/>
          <w:b w:val="false"/>
          <w:i w:val="false"/>
          <w:color w:val="000000"/>
          <w:sz w:val="22"/>
        </w:rPr>
        <w:t>(260F) shall apply to college-sponsored business network training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17.25(12)</w:t>
      </w:r>
      <w:r>
        <w:rPr>
          <w:rFonts w:ascii="Times New Roman" w:hAnsi="Times New Roman"/>
          <w:b w:val="false"/>
          <w:i w:val="false"/>
          <w:color w:val="000000"/>
          <w:sz w:val="22"/>
        </w:rPr>
        <w:t> </w:t>
      </w:r>
      <w:r>
        <w:rPr>
          <w:rFonts w:ascii="Times New Roman" w:hAnsi="Times New Roman"/>
          <w:b w:val="false"/>
          <w:i w:val="false"/>
          <w:color w:val="000000"/>
          <w:sz w:val="22"/>
        </w:rPr>
        <w:t>In the event of a default, a financial penalty will be assigned by the authority to the business or businesses identified responsible for the default.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17.25(13)</w:t>
      </w:r>
      <w:r>
        <w:rPr>
          <w:rFonts w:ascii="Times New Roman" w:hAnsi="Times New Roman"/>
          <w:b w:val="false"/>
          <w:i w:val="false"/>
          <w:color w:val="000000"/>
          <w:sz w:val="22"/>
        </w:rPr>
        <w:t> </w:t>
      </w:r>
      <w:r>
        <w:rPr>
          <w:rFonts w:ascii="Times New Roman" w:hAnsi="Times New Roman"/>
          <w:b w:val="false"/>
          <w:i w:val="false"/>
          <w:color w:val="000000"/>
          <w:sz w:val="22"/>
        </w:rPr>
        <w:t>The lead business or organization shall submit quarterly progress reports for the duration of the project which detail training progress to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17.25(14)</w:t>
      </w:r>
      <w:r>
        <w:rPr>
          <w:rFonts w:ascii="Times New Roman" w:hAnsi="Times New Roman"/>
          <w:b w:val="false"/>
          <w:i w:val="false"/>
          <w:color w:val="000000"/>
          <w:sz w:val="22"/>
        </w:rPr>
        <w:t> </w:t>
      </w:r>
      <w:r>
        <w:rPr>
          <w:rFonts w:ascii="Times New Roman" w:hAnsi="Times New Roman"/>
          <w:b w:val="false"/>
          <w:i w:val="false"/>
          <w:color w:val="000000"/>
          <w:sz w:val="22"/>
        </w:rPr>
        <w:t>Each business that participates in the business network shall complete a Final Performance Report, Form 260F-5, at the completion of training as a condition of the loan’s being forgiven.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17.25(15)</w:t>
      </w:r>
      <w:r>
        <w:rPr>
          <w:rFonts w:ascii="Times New Roman" w:hAnsi="Times New Roman"/>
          <w:b w:val="false"/>
          <w:i w:val="false"/>
          <w:color w:val="000000"/>
          <w:sz w:val="22"/>
        </w:rPr>
        <w:t> </w:t>
      </w:r>
      <w:r>
        <w:rPr>
          <w:rFonts w:ascii="Times New Roman" w:hAnsi="Times New Roman"/>
          <w:b w:val="false"/>
          <w:i w:val="false"/>
          <w:color w:val="000000"/>
          <w:sz w:val="22"/>
        </w:rPr>
        <w:t>Each project shall receive a two-month advance of total project funds to cover initial costs incurred, the use of which must be documented to the authority, after which documented costs incurred will be reimbursed on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17.25(16)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business network training assistance, which takes the form of supplier network training as defined in </w:t>
      </w:r>
      <w:hyperlink r:id="rId26">
        <w:r>
          <w:rPr>
            <w:rStyle w:val="Hyperlink"/>
            <w:rFonts w:ascii="Times New Roman" w:hAnsi="Times New Roman"/>
            <w:b w:val="false"/>
            <w:i w:val="false"/>
            <w:color w:val="000000"/>
            <w:sz w:val="22"/>
          </w:rPr>
          <w:t>261—7.3</w:t>
        </w:r>
      </w:hyperlink>
      <w:r>
        <w:rPr>
          <w:rFonts w:ascii="Times New Roman" w:hAnsi="Times New Roman"/>
          <w:b w:val="false"/>
          <w:i w:val="false"/>
          <w:color w:val="000000"/>
          <w:sz w:val="22"/>
        </w:rPr>
        <w:t>(260F), the authority shall make a good faith effort to determine the probability that the proposed project will cause the displacement of employees of existing Iowa businesses. Any business network training project which takes the form of supplier network training and would have the effect of displacing employees of existing Iowa end-product manufacturers shall not be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877—17.26</w:t>
      </w:r>
      <w:r>
        <w:rPr>
          <w:rFonts w:ascii="Times New Roman" w:hAnsi="Times New Roman"/>
          <w:b/>
          <w:i w:val="false"/>
          <w:color w:val="000000"/>
          <w:sz w:val="22"/>
        </w:rPr>
        <w:t xml:space="preserve">(260F) </w:t>
      </w:r>
      <w:r>
        <w:rPr>
          <w:rFonts w:ascii="Times New Roman" w:hAnsi="Times New Roman"/>
          <w:b/>
          <w:i w:val="false"/>
          <w:color w:val="000000"/>
          <w:sz w:val="22"/>
        </w:rPr>
        <w:t xml:space="preserve">Special requirements for community college-sponsored high technology apprenticeship projects. </w:t>
      </w:r>
      <w:r>
        <w:rPr>
          <w:rFonts w:ascii="Times New Roman" w:hAnsi="Times New Roman"/>
          <w:b w:val="false"/>
          <w:i w:val="false"/>
          <w:color w:val="000000"/>
          <w:sz w:val="22"/>
        </w:rPr>
        <w:t xml:space="preserve">The community colleges and the authority are authorized to fund high technology apprenticeship programs which comply with the requirements specified in Iowa Code section </w:t>
      </w:r>
      <w:hyperlink r:id="rId27">
        <w:r>
          <w:rPr>
            <w:rStyle w:val="Hyperlink"/>
            <w:rFonts w:ascii="Times New Roman" w:hAnsi="Times New Roman"/>
            <w:b w:val="false"/>
            <w:i w:val="false"/>
            <w:color w:val="000000"/>
            <w:sz w:val="22"/>
          </w:rPr>
          <w:t>260C.44</w:t>
        </w:r>
      </w:hyperlink>
      <w:r>
        <w:rPr>
          <w:rFonts w:ascii="Times New Roman" w:hAnsi="Times New Roman"/>
          <w:b w:val="false"/>
          <w:i w:val="false"/>
          <w:color w:val="000000"/>
          <w:sz w:val="22"/>
        </w:rPr>
        <w:t xml:space="preserve"> and which may include both new and statewide apprenticeship programs. Notwithstanding the provisions of Iowa Code section </w:t>
      </w:r>
      <w:hyperlink r:id="rId28">
        <w:r>
          <w:rPr>
            <w:rStyle w:val="Hyperlink"/>
            <w:rFonts w:ascii="Times New Roman" w:hAnsi="Times New Roman"/>
            <w:b w:val="false"/>
            <w:i w:val="false"/>
            <w:color w:val="000000"/>
            <w:sz w:val="22"/>
          </w:rPr>
          <w:t>260F.6(2)</w:t>
        </w:r>
      </w:hyperlink>
      <w:r>
        <w:rPr>
          <w:rFonts w:ascii="Times New Roman" w:hAnsi="Times New Roman"/>
          <w:b w:val="false"/>
          <w:i w:val="false"/>
          <w:color w:val="000000"/>
          <w:sz w:val="22"/>
        </w:rPr>
        <w:t>, relating to maximum award amounts, moneys allocated to the community colleges with high technology apprenticeship programs shall be distributed to the community colleges based upon contact hours under the programs administered during the prior fiscal year as determined by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17.26(1)</w:t>
      </w:r>
      <w:r>
        <w:rPr>
          <w:rFonts w:ascii="Times New Roman" w:hAnsi="Times New Roman"/>
          <w:b w:val="false"/>
          <w:i w:val="false"/>
          <w:color w:val="000000"/>
          <w:sz w:val="22"/>
        </w:rPr>
        <w:t> </w:t>
      </w:r>
      <w:r>
        <w:rPr>
          <w:rFonts w:ascii="Times New Roman" w:hAnsi="Times New Roman"/>
          <w:b w:val="false"/>
          <w:i w:val="false"/>
          <w:color w:val="000000"/>
          <w:sz w:val="22"/>
        </w:rPr>
        <w:t>An apprenticeship sponsor must have a designated community college to serve as the project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17.26(2)</w:t>
      </w:r>
      <w:r>
        <w:rPr>
          <w:rFonts w:ascii="Times New Roman" w:hAnsi="Times New Roman"/>
          <w:b w:val="false"/>
          <w:i w:val="false"/>
          <w:color w:val="000000"/>
          <w:sz w:val="22"/>
        </w:rPr>
        <w:t> </w:t>
      </w:r>
      <w:r>
        <w:rPr>
          <w:rFonts w:ascii="Times New Roman" w:hAnsi="Times New Roman"/>
          <w:b w:val="false"/>
          <w:i w:val="false"/>
          <w:color w:val="000000"/>
          <w:sz w:val="22"/>
        </w:rPr>
        <w:t>The designated community college shall serve as the apprenticeship sponsor’s representative and shall serve as the authority’s contact regarding all project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17.26(3)</w:t>
      </w:r>
      <w:r>
        <w:rPr>
          <w:rFonts w:ascii="Times New Roman" w:hAnsi="Times New Roman"/>
          <w:b w:val="false"/>
          <w:i w:val="false"/>
          <w:color w:val="000000"/>
          <w:sz w:val="22"/>
        </w:rPr>
        <w:t> </w:t>
      </w:r>
      <w:r>
        <w:rPr>
          <w:rFonts w:ascii="Times New Roman" w:hAnsi="Times New Roman"/>
          <w:b w:val="false"/>
          <w:i w:val="false"/>
          <w:color w:val="000000"/>
          <w:sz w:val="22"/>
        </w:rPr>
        <w:t>If more than one community college is involved in the project, the participating community colleges shall designate one college as the project’s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17.26(4)</w:t>
      </w:r>
      <w:r>
        <w:rPr>
          <w:rFonts w:ascii="Times New Roman" w:hAnsi="Times New Roman"/>
          <w:b w:val="false"/>
          <w:i w:val="false"/>
          <w:color w:val="000000"/>
          <w:sz w:val="22"/>
        </w:rPr>
        <w:t> </w:t>
      </w:r>
      <w:r>
        <w:rPr>
          <w:rFonts w:ascii="Times New Roman" w:hAnsi="Times New Roman"/>
          <w:b w:val="false"/>
          <w:i w:val="false"/>
          <w:color w:val="000000"/>
          <w:sz w:val="22"/>
        </w:rPr>
        <w:t>Apprenticeship Application for Assistance, Form 260F-1D, shall be signed by the community college or, in the case of a multicollege project, by each participating community college and shall be submitted by the community college to the authority for project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17.26(5)</w:t>
      </w:r>
      <w:r>
        <w:rPr>
          <w:rFonts w:ascii="Times New Roman" w:hAnsi="Times New Roman"/>
          <w:b w:val="false"/>
          <w:i w:val="false"/>
          <w:color w:val="000000"/>
          <w:sz w:val="22"/>
        </w:rPr>
        <w:t> </w:t>
      </w:r>
      <w:r>
        <w:rPr>
          <w:rFonts w:ascii="Times New Roman" w:hAnsi="Times New Roman"/>
          <w:b w:val="false"/>
          <w:i w:val="false"/>
          <w:color w:val="000000"/>
          <w:sz w:val="22"/>
        </w:rPr>
        <w:t>The community college shall enter into a training contract with the apprenticeship sponsor within 90 days of written notice of application approval from the authority, using Apprenticeship Training Contract, Form 260F-4D.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17.26(6)</w:t>
      </w:r>
      <w:r>
        <w:rPr>
          <w:rFonts w:ascii="Times New Roman" w:hAnsi="Times New Roman"/>
          <w:b w:val="false"/>
          <w:i w:val="false"/>
          <w:color w:val="000000"/>
          <w:sz w:val="22"/>
        </w:rPr>
        <w:t> </w:t>
      </w:r>
      <w:r>
        <w:rPr>
          <w:rFonts w:ascii="Times New Roman" w:hAnsi="Times New Roman"/>
          <w:b w:val="false"/>
          <w:i w:val="false"/>
          <w:color w:val="000000"/>
          <w:sz w:val="22"/>
        </w:rPr>
        <w:t>All authority communications concerning an apprenticeship project, including notice of project approval or denial and issuance of financial awards, shall be with the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17.26(7)</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default provisions specified in </w:t>
      </w:r>
      <w:hyperlink r:id="rId29">
        <w:r>
          <w:rPr>
            <w:rStyle w:val="Hyperlink"/>
            <w:rFonts w:ascii="Times New Roman" w:hAnsi="Times New Roman"/>
            <w:b w:val="false"/>
            <w:i w:val="false"/>
            <w:color w:val="000000"/>
            <w:sz w:val="22"/>
          </w:rPr>
          <w:t>261—7.30</w:t>
        </w:r>
      </w:hyperlink>
      <w:r>
        <w:rPr>
          <w:rFonts w:ascii="Times New Roman" w:hAnsi="Times New Roman"/>
          <w:b w:val="false"/>
          <w:i w:val="false"/>
          <w:color w:val="000000"/>
          <w:sz w:val="22"/>
        </w:rPr>
        <w:t>(260F) shall apply to college-sponsored apprenticeship training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17.26(8)</w:t>
      </w:r>
      <w:r>
        <w:rPr>
          <w:rFonts w:ascii="Times New Roman" w:hAnsi="Times New Roman"/>
          <w:b w:val="false"/>
          <w:i w:val="false"/>
          <w:color w:val="000000"/>
          <w:sz w:val="22"/>
        </w:rPr>
        <w:t> </w:t>
      </w:r>
      <w:r>
        <w:rPr>
          <w:rFonts w:ascii="Times New Roman" w:hAnsi="Times New Roman"/>
          <w:b w:val="false"/>
          <w:i w:val="false"/>
          <w:color w:val="000000"/>
          <w:sz w:val="22"/>
        </w:rPr>
        <w:t>In the event of a default, a financial penalty will be assigned by the authority to the apprenticeship sponsor identified by the designated community college as being responsible for the default.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17.26(9)</w:t>
      </w:r>
      <w:r>
        <w:rPr>
          <w:rFonts w:ascii="Times New Roman" w:hAnsi="Times New Roman"/>
          <w:b w:val="false"/>
          <w:i w:val="false"/>
          <w:color w:val="000000"/>
          <w:sz w:val="22"/>
        </w:rPr>
        <w:t> </w:t>
      </w:r>
      <w:r>
        <w:rPr>
          <w:rFonts w:ascii="Times New Roman" w:hAnsi="Times New Roman"/>
          <w:b w:val="false"/>
          <w:i w:val="false"/>
          <w:color w:val="000000"/>
          <w:sz w:val="22"/>
        </w:rPr>
        <w:t>Each apprenticeship sponsor that participates in the project shall complete a Final Performance Report, Form 260F-5A, at the completion of training as a condition of the loan’s being forgiven.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877—17.27</w:t>
      </w:r>
      <w:r>
        <w:rPr>
          <w:rFonts w:ascii="Times New Roman" w:hAnsi="Times New Roman"/>
          <w:b/>
          <w:i w:val="false"/>
          <w:color w:val="000000"/>
          <w:sz w:val="22"/>
        </w:rPr>
        <w:t xml:space="preserve">(260F) </w:t>
      </w:r>
      <w:r>
        <w:rPr>
          <w:rFonts w:ascii="Times New Roman" w:hAnsi="Times New Roman"/>
          <w:b/>
          <w:i w:val="false"/>
          <w:color w:val="000000"/>
          <w:sz w:val="22"/>
        </w:rPr>
        <w:t xml:space="preserve">Special requirements for authority-sponsored high technology apprenticeship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17.27(1)</w:t>
      </w:r>
      <w:r>
        <w:rPr>
          <w:rFonts w:ascii="Times New Roman" w:hAnsi="Times New Roman"/>
          <w:b w:val="false"/>
          <w:i w:val="false"/>
          <w:color w:val="000000"/>
          <w:sz w:val="22"/>
        </w:rPr>
        <w:t> </w:t>
      </w:r>
      <w:r>
        <w:rPr>
          <w:rFonts w:ascii="Times New Roman" w:hAnsi="Times New Roman"/>
          <w:b w:val="false"/>
          <w:i w:val="false"/>
          <w:color w:val="000000"/>
          <w:sz w:val="22"/>
        </w:rPr>
        <w:t>Eligible applicants include any organization that is approved by the U.S. Department of Labor, Bureau of Apprenticeship and Training to provide an apprenticeship program. This group shall be referred to as an apprenticeship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17.27(2)</w:t>
      </w:r>
      <w:r>
        <w:rPr>
          <w:rFonts w:ascii="Times New Roman" w:hAnsi="Times New Roman"/>
          <w:b w:val="false"/>
          <w:i w:val="false"/>
          <w:color w:val="000000"/>
          <w:sz w:val="22"/>
        </w:rPr>
        <w:t> </w:t>
      </w:r>
      <w:r>
        <w:rPr>
          <w:rFonts w:ascii="Times New Roman" w:hAnsi="Times New Roman"/>
          <w:b w:val="false"/>
          <w:i w:val="false"/>
          <w:color w:val="000000"/>
          <w:sz w:val="22"/>
        </w:rPr>
        <w:t>Administrative costs shall be limited to 15 percent of the total project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17.27(3)</w:t>
      </w:r>
      <w:r>
        <w:rPr>
          <w:rFonts w:ascii="Times New Roman" w:hAnsi="Times New Roman"/>
          <w:b w:val="false"/>
          <w:i w:val="false"/>
          <w:color w:val="000000"/>
          <w:sz w:val="22"/>
        </w:rPr>
        <w:t> </w:t>
      </w:r>
      <w:r>
        <w:rPr>
          <w:rFonts w:ascii="Times New Roman" w:hAnsi="Times New Roman"/>
          <w:b w:val="false"/>
          <w:i w:val="false"/>
          <w:color w:val="000000"/>
          <w:sz w:val="22"/>
        </w:rPr>
        <w:t>All administrative costs must be directly related to the project’s operation, including but not limited to the costs of schedule coordination, securing facilities, and contracting with training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17.27(4)</w:t>
      </w:r>
      <w:r>
        <w:rPr>
          <w:rFonts w:ascii="Times New Roman" w:hAnsi="Times New Roman"/>
          <w:b w:val="false"/>
          <w:i w:val="false"/>
          <w:color w:val="000000"/>
          <w:sz w:val="22"/>
        </w:rPr>
        <w:t> </w:t>
      </w:r>
      <w:r>
        <w:rPr>
          <w:rFonts w:ascii="Times New Roman" w:hAnsi="Times New Roman"/>
          <w:b w:val="false"/>
          <w:i w:val="false"/>
          <w:color w:val="000000"/>
          <w:sz w:val="22"/>
        </w:rPr>
        <w:t>The apprenticeship sponsor shall submit an Apprenticeship Application for Assistance, Form 260F-1E, to the authority for project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17.27(5)</w:t>
      </w:r>
      <w:r>
        <w:rPr>
          <w:rFonts w:ascii="Times New Roman" w:hAnsi="Times New Roman"/>
          <w:b w:val="false"/>
          <w:i w:val="false"/>
          <w:color w:val="000000"/>
          <w:sz w:val="22"/>
        </w:rPr>
        <w:t> </w:t>
      </w:r>
      <w:r>
        <w:rPr>
          <w:rFonts w:ascii="Times New Roman" w:hAnsi="Times New Roman"/>
          <w:b w:val="false"/>
          <w:i w:val="false"/>
          <w:color w:val="000000"/>
          <w:sz w:val="22"/>
        </w:rPr>
        <w:t>Applications shall be accepted on a first-come, first-served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17.27(6)</w:t>
      </w:r>
      <w:r>
        <w:rPr>
          <w:rFonts w:ascii="Times New Roman" w:hAnsi="Times New Roman"/>
          <w:b w:val="false"/>
          <w:i w:val="false"/>
          <w:color w:val="000000"/>
          <w:sz w:val="22"/>
        </w:rPr>
        <w:t> </w:t>
      </w:r>
      <w:r>
        <w:rPr>
          <w:rFonts w:ascii="Times New Roman" w:hAnsi="Times New Roman"/>
          <w:b w:val="false"/>
          <w:i w:val="false"/>
          <w:color w:val="000000"/>
          <w:sz w:val="22"/>
        </w:rPr>
        <w:t>Application approval is at the discretion of the authority board and shall consider recommendations made by authority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17.27(7)</w:t>
      </w:r>
      <w:r>
        <w:rPr>
          <w:rFonts w:ascii="Times New Roman" w:hAnsi="Times New Roman"/>
          <w:b w:val="false"/>
          <w:i w:val="false"/>
          <w:color w:val="000000"/>
          <w:sz w:val="22"/>
        </w:rPr>
        <w:t> </w:t>
      </w:r>
      <w:r>
        <w:rPr>
          <w:rFonts w:ascii="Times New Roman" w:hAnsi="Times New Roman"/>
          <w:b w:val="false"/>
          <w:i w:val="false"/>
          <w:color w:val="000000"/>
          <w:sz w:val="22"/>
        </w:rPr>
        <w:t>The authority shall enter into a training contract with the apprenticeship sponsor within 90 days of board approval, using Apprenticeship Training Contract, Form 260F-4E.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17.27(8)</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default provisions specified in </w:t>
      </w:r>
      <w:hyperlink r:id="rId30">
        <w:r>
          <w:rPr>
            <w:rStyle w:val="Hyperlink"/>
            <w:rFonts w:ascii="Times New Roman" w:hAnsi="Times New Roman"/>
            <w:b w:val="false"/>
            <w:i w:val="false"/>
            <w:color w:val="000000"/>
            <w:sz w:val="22"/>
          </w:rPr>
          <w:t>261—7.30</w:t>
        </w:r>
      </w:hyperlink>
      <w:r>
        <w:rPr>
          <w:rFonts w:ascii="Times New Roman" w:hAnsi="Times New Roman"/>
          <w:b w:val="false"/>
          <w:i w:val="false"/>
          <w:color w:val="000000"/>
          <w:sz w:val="22"/>
        </w:rPr>
        <w:t>(260F) shall apply to college-sponsored apprenticeship training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17.27(9)</w:t>
      </w:r>
      <w:r>
        <w:rPr>
          <w:rFonts w:ascii="Times New Roman" w:hAnsi="Times New Roman"/>
          <w:b w:val="false"/>
          <w:i w:val="false"/>
          <w:color w:val="000000"/>
          <w:sz w:val="22"/>
        </w:rPr>
        <w:t> </w:t>
      </w:r>
      <w:r>
        <w:rPr>
          <w:rFonts w:ascii="Times New Roman" w:hAnsi="Times New Roman"/>
          <w:b w:val="false"/>
          <w:i w:val="false"/>
          <w:color w:val="000000"/>
          <w:sz w:val="22"/>
        </w:rPr>
        <w:t>In the event of a default, a financial penalty will be assigned by the authority to the business or apprenticeship sponsor identified as responsible for the default.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17.27(10)</w:t>
      </w:r>
      <w:r>
        <w:rPr>
          <w:rFonts w:ascii="Times New Roman" w:hAnsi="Times New Roman"/>
          <w:b w:val="false"/>
          <w:i w:val="false"/>
          <w:color w:val="000000"/>
          <w:sz w:val="22"/>
        </w:rPr>
        <w:t> </w:t>
      </w:r>
      <w:r>
        <w:rPr>
          <w:rFonts w:ascii="Times New Roman" w:hAnsi="Times New Roman"/>
          <w:b w:val="false"/>
          <w:i w:val="false"/>
          <w:color w:val="000000"/>
          <w:sz w:val="22"/>
        </w:rPr>
        <w:t>The apprenticeship sponsor shall submit quarterly progress reports for the duration of the project which detail training progress to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17.27(11)</w:t>
      </w:r>
      <w:r>
        <w:rPr>
          <w:rFonts w:ascii="Times New Roman" w:hAnsi="Times New Roman"/>
          <w:b w:val="false"/>
          <w:i w:val="false"/>
          <w:color w:val="000000"/>
          <w:sz w:val="22"/>
        </w:rPr>
        <w:t> </w:t>
      </w:r>
      <w:r>
        <w:rPr>
          <w:rFonts w:ascii="Times New Roman" w:hAnsi="Times New Roman"/>
          <w:b w:val="false"/>
          <w:i w:val="false"/>
          <w:color w:val="000000"/>
          <w:sz w:val="22"/>
        </w:rPr>
        <w:t>Each apprenticeship sponsor that participates in the high technology apprenticeship program shall complete a Final Performance Report, Form 260F-5A, at the completion of training as a condition of the loan’s being forgiven.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17.27(12)</w:t>
      </w:r>
      <w:r>
        <w:rPr>
          <w:rFonts w:ascii="Times New Roman" w:hAnsi="Times New Roman"/>
          <w:b w:val="false"/>
          <w:i w:val="false"/>
          <w:color w:val="000000"/>
          <w:sz w:val="22"/>
        </w:rPr>
        <w:t> </w:t>
      </w:r>
      <w:r>
        <w:rPr>
          <w:rFonts w:ascii="Times New Roman" w:hAnsi="Times New Roman"/>
          <w:b w:val="false"/>
          <w:i w:val="false"/>
          <w:color w:val="000000"/>
          <w:sz w:val="22"/>
        </w:rPr>
        <w:t>Each project shall receive a two-month advance of total project funds to cover initial costs incurred, the use of which must be documented to the authority, after which documented costs incurred will be reimbursed on a monthly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877—17.28</w:t>
      </w:r>
      <w:r>
        <w:rPr>
          <w:rFonts w:ascii="Times New Roman" w:hAnsi="Times New Roman"/>
          <w:b/>
          <w:i w:val="false"/>
          <w:color w:val="000000"/>
          <w:sz w:val="22"/>
        </w:rPr>
        <w:t xml:space="preserve">(81GA,HF868,HF809) </w:t>
      </w:r>
      <w:r>
        <w:rPr>
          <w:rFonts w:ascii="Times New Roman" w:hAnsi="Times New Roman"/>
          <w:b/>
          <w:i w:val="false"/>
          <w:color w:val="000000"/>
          <w:sz w:val="22"/>
        </w:rPr>
        <w:t xml:space="preserve">Special requirements for job retention program projects.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3463C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11/22/17</w:t>
      </w:r>
      <w:r>
        <w:rPr>
          <w:rFonts w:ascii="Times New Roman" w:hAnsi="Times New Roman"/>
          <w:b w:val="false"/>
          <w:i w:val="false"/>
          <w:color w:val="000000"/>
          <w:sz w:val="22"/>
        </w:rPr>
        <w:t xml:space="preserve">, effective 12/27/17. </w:t>
      </w:r>
    </w:p>
    <w:p>
      <w:pPr>
        <w:spacing w:before="210" w:after="0"/>
        <w:ind w:left="120"/>
        <w:jc w:val="both"/>
      </w:pPr>
      <w:r>
        <w:rPr>
          <w:rFonts w:ascii="Times New Roman" w:hAnsi="Times New Roman"/>
          <w:b/>
          <w:i w:val="false"/>
          <w:color w:val="000000"/>
          <w:sz w:val="22"/>
        </w:rPr>
        <w:t>877—17.29</w:t>
      </w:r>
      <w:r>
        <w:rPr>
          <w:rFonts w:ascii="Times New Roman" w:hAnsi="Times New Roman"/>
          <w:b/>
          <w:i w:val="false"/>
          <w:color w:val="000000"/>
          <w:sz w:val="22"/>
        </w:rPr>
        <w:t xml:space="preserve">(81GA,HF868,HF809) </w:t>
      </w:r>
      <w:r>
        <w:rPr>
          <w:rFonts w:ascii="Times New Roman" w:hAnsi="Times New Roman"/>
          <w:b/>
          <w:i w:val="false"/>
          <w:color w:val="000000"/>
          <w:sz w:val="22"/>
        </w:rPr>
        <w:t xml:space="preserve">Special requirements for projects funded through the grow Iowa values fund. </w:t>
      </w:r>
      <w:r>
        <w:rPr>
          <w:rFonts w:ascii="Times New Roman" w:hAnsi="Times New Roman"/>
          <w:b w:val="false"/>
          <w:i w:val="false"/>
          <w:color w:val="000000"/>
          <w:sz w:val="22"/>
        </w:rPr>
        <w:t xml:space="preserve">Rescinded </w:t>
      </w:r>
      <w:r>
        <w:rPr>
          <w:rFonts w:ascii="Times New Roman" w:hAnsi="Times New Roman"/>
          <w:b/>
          <w:i w:val="false"/>
          <w:color w:val="000000"/>
          <w:sz w:val="22"/>
        </w:rPr>
        <w:t>ARC 3463C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11/22/17</w:t>
      </w:r>
      <w:r>
        <w:rPr>
          <w:rFonts w:ascii="Times New Roman" w:hAnsi="Times New Roman"/>
          <w:b w:val="false"/>
          <w:i w:val="false"/>
          <w:color w:val="000000"/>
          <w:sz w:val="22"/>
        </w:rPr>
        <w:t xml:space="preserve">, effective 12/27/17. </w:t>
      </w:r>
    </w:p>
    <w:p>
      <w:pPr>
        <w:spacing w:before="0" w:after="0"/>
        <w:ind w:left="120"/>
        <w:jc w:val="both"/>
      </w:pPr>
      <w:r>
        <w:rPr>
          <w:rFonts w:ascii="Times New Roman" w:hAnsi="Times New Roman"/>
          <w:b/>
          <w:i w:val="false"/>
          <w:color w:val="000000"/>
          <w:sz w:val="22"/>
        </w:rPr>
        <w:t>877—17.30</w:t>
      </w:r>
      <w:r>
        <w:rPr>
          <w:rFonts w:ascii="Times New Roman" w:hAnsi="Times New Roman"/>
          <w:b/>
          <w:i w:val="false"/>
          <w:color w:val="000000"/>
          <w:sz w:val="22"/>
        </w:rPr>
        <w:t xml:space="preserve">(260F) </w:t>
      </w:r>
      <w:r>
        <w:rPr>
          <w:rFonts w:ascii="Times New Roman" w:hAnsi="Times New Roman"/>
          <w:b/>
          <w:i w:val="false"/>
          <w:color w:val="000000"/>
          <w:sz w:val="22"/>
        </w:rPr>
        <w:t xml:space="preserve">Events of 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17.30(1)</w:t>
      </w:r>
      <w:r>
        <w:rPr>
          <w:rFonts w:ascii="Times New Roman" w:hAnsi="Times New Roman"/>
          <w:b w:val="false"/>
          <w:i w:val="false"/>
          <w:color w:val="000000"/>
          <w:sz w:val="22"/>
        </w:rPr>
        <w:t> </w:t>
      </w:r>
      <w:r>
        <w:rPr>
          <w:rFonts w:ascii="Times New Roman" w:hAnsi="Times New Roman"/>
          <w:b w:val="false"/>
          <w:i w:val="false"/>
          <w:color w:val="000000"/>
          <w:sz w:val="22"/>
        </w:rPr>
        <w:t>A business or apprenticeship sponsor fails to complete the training project within the agreed period of time as specified in the training agreement. Such business or apprenticeship sponsor shall be required to repay 20 percent of total project funds expended by the community college and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17.30(2)</w:t>
      </w:r>
      <w:r>
        <w:rPr>
          <w:rFonts w:ascii="Times New Roman" w:hAnsi="Times New Roman"/>
          <w:b w:val="false"/>
          <w:i w:val="false"/>
          <w:color w:val="000000"/>
          <w:sz w:val="22"/>
        </w:rPr>
        <w:t> </w:t>
      </w:r>
      <w:r>
        <w:rPr>
          <w:rFonts w:ascii="Times New Roman" w:hAnsi="Times New Roman"/>
          <w:b w:val="false"/>
          <w:i w:val="false"/>
          <w:color w:val="000000"/>
          <w:sz w:val="22"/>
        </w:rPr>
        <w:t>A business or apprenticeship sponsor fails to train the agreed number of employees as specified in the training agreement. Such business or apprenticeship sponsor shall be required to repay a proportionate amount of total project funds expended by the community college and the business or apprenticeship sponsor. The proportion shall be based on the number of employees not trained compared to the number of employees to have been trained.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17.30(3)</w:t>
      </w:r>
      <w:r>
        <w:rPr>
          <w:rFonts w:ascii="Times New Roman" w:hAnsi="Times New Roman"/>
          <w:b w:val="false"/>
          <w:i w:val="false"/>
          <w:color w:val="000000"/>
          <w:sz w:val="22"/>
        </w:rPr>
        <w:t> </w:t>
      </w:r>
      <w:r>
        <w:rPr>
          <w:rFonts w:ascii="Times New Roman" w:hAnsi="Times New Roman"/>
          <w:b w:val="false"/>
          <w:i w:val="false"/>
          <w:color w:val="000000"/>
          <w:sz w:val="22"/>
        </w:rPr>
        <w:t xml:space="preserve">If both </w:t>
      </w:r>
      <w:hyperlink r:id="rId31">
        <w:r>
          <w:rPr>
            <w:rStyle w:val="Hyperlink"/>
            <w:rFonts w:ascii="Times New Roman" w:hAnsi="Times New Roman"/>
            <w:b w:val="false"/>
            <w:i w:val="false"/>
            <w:color w:val="000000"/>
            <w:sz w:val="22"/>
          </w:rPr>
          <w:t>7.30(1)</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7.30(2)</w:t>
        </w:r>
      </w:hyperlink>
      <w:r>
        <w:rPr>
          <w:rFonts w:ascii="Times New Roman" w:hAnsi="Times New Roman"/>
          <w:b w:val="false"/>
          <w:i w:val="false"/>
          <w:color w:val="000000"/>
          <w:sz w:val="22"/>
        </w:rPr>
        <w:t xml:space="preserve"> occur, both penalties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17.30(4)</w:t>
      </w:r>
      <w:r>
        <w:rPr>
          <w:rFonts w:ascii="Times New Roman" w:hAnsi="Times New Roman"/>
          <w:b w:val="false"/>
          <w:i w:val="false"/>
          <w:color w:val="000000"/>
          <w:sz w:val="22"/>
        </w:rPr>
        <w:t> </w:t>
      </w:r>
      <w:r>
        <w:rPr>
          <w:rFonts w:ascii="Times New Roman" w:hAnsi="Times New Roman"/>
          <w:b w:val="false"/>
          <w:i w:val="false"/>
          <w:color w:val="000000"/>
          <w:sz w:val="22"/>
        </w:rPr>
        <w:t>A business or apprenticeship sponsor fails to comply with any requirements contained in the training agreement. The business or apprenticeship sponsor shall be sent written notice by the community college which specifies the issue(s) of noncompliance and shall be allowed 20 days from the date notice is sent to effect a cure. If noncompliance is of such a nature that a cure cannot be reasonably accomplished within 20 days, the community college has the discretion to extend the period of cure to a maximum of 60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17.30(5)</w:t>
      </w:r>
      <w:r>
        <w:rPr>
          <w:rFonts w:ascii="Times New Roman" w:hAnsi="Times New Roman"/>
          <w:b w:val="false"/>
          <w:i w:val="false"/>
          <w:color w:val="000000"/>
          <w:sz w:val="22"/>
        </w:rPr>
        <w:t> </w:t>
      </w:r>
      <w:r>
        <w:rPr>
          <w:rFonts w:ascii="Times New Roman" w:hAnsi="Times New Roman"/>
          <w:b w:val="false"/>
          <w:i w:val="false"/>
          <w:color w:val="000000"/>
          <w:sz w:val="22"/>
        </w:rPr>
        <w:t>A business or apprenticeship sponsor ceases or announces the cessation of operations at the project site prior to completion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17.30(6)</w:t>
      </w:r>
      <w:r>
        <w:rPr>
          <w:rFonts w:ascii="Times New Roman" w:hAnsi="Times New Roman"/>
          <w:b w:val="false"/>
          <w:i w:val="false"/>
          <w:color w:val="000000"/>
          <w:sz w:val="22"/>
        </w:rPr>
        <w:t> </w:t>
      </w:r>
      <w:r>
        <w:rPr>
          <w:rFonts w:ascii="Times New Roman" w:hAnsi="Times New Roman"/>
          <w:b w:val="false"/>
          <w:i w:val="false"/>
          <w:color w:val="000000"/>
          <w:sz w:val="22"/>
        </w:rPr>
        <w:t>A business or apprenticeship sponsor directly or indirectly makes any false or misleading representations or warranties in the program application or training agreement, reports, or any other documents which are provided to the community college or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17.30(7)</w:t>
      </w:r>
      <w:r>
        <w:rPr>
          <w:rFonts w:ascii="Times New Roman" w:hAnsi="Times New Roman"/>
          <w:b w:val="false"/>
          <w:i w:val="false"/>
          <w:color w:val="000000"/>
          <w:sz w:val="22"/>
        </w:rPr>
        <w:t> </w:t>
      </w:r>
      <w:r>
        <w:rPr>
          <w:rFonts w:ascii="Times New Roman" w:hAnsi="Times New Roman"/>
          <w:b w:val="false"/>
          <w:i w:val="false"/>
          <w:color w:val="000000"/>
          <w:sz w:val="22"/>
        </w:rPr>
        <w:t>A business or apprenticeship sponsor acts in any manner contrary to, or fails to act in accordance with, any provision of the training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17.30(8)</w:t>
      </w:r>
      <w:r>
        <w:rPr>
          <w:rFonts w:ascii="Times New Roman" w:hAnsi="Times New Roman"/>
          <w:b w:val="false"/>
          <w:i w:val="false"/>
          <w:color w:val="000000"/>
          <w:sz w:val="22"/>
        </w:rPr>
        <w:t> </w:t>
      </w:r>
      <w:r>
        <w:rPr>
          <w:rFonts w:ascii="Times New Roman" w:hAnsi="Times New Roman"/>
          <w:b w:val="false"/>
          <w:i w:val="false"/>
          <w:color w:val="000000"/>
          <w:sz w:val="22"/>
        </w:rPr>
        <w:t>A business takes corporate action to effect any of the preceding conditions of default.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877—17.31</w:t>
      </w:r>
      <w:r>
        <w:rPr>
          <w:rFonts w:ascii="Times New Roman" w:hAnsi="Times New Roman"/>
          <w:b/>
          <w:i w:val="false"/>
          <w:color w:val="000000"/>
          <w:sz w:val="22"/>
        </w:rPr>
        <w:t xml:space="preserve">(260F) </w:t>
      </w:r>
      <w:r>
        <w:rPr>
          <w:rFonts w:ascii="Times New Roman" w:hAnsi="Times New Roman"/>
          <w:b/>
          <w:i w:val="false"/>
          <w:color w:val="000000"/>
          <w:sz w:val="22"/>
        </w:rPr>
        <w:t xml:space="preserve">Options and procedures on 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17.31(1)</w:t>
      </w:r>
      <w:r>
        <w:rPr>
          <w:rFonts w:ascii="Times New Roman" w:hAnsi="Times New Roman"/>
          <w:b w:val="false"/>
          <w:i w:val="false"/>
          <w:color w:val="000000"/>
          <w:sz w:val="22"/>
        </w:rPr>
        <w:t> </w:t>
      </w:r>
      <w:r>
        <w:rPr>
          <w:rFonts w:ascii="Times New Roman" w:hAnsi="Times New Roman"/>
          <w:b w:val="false"/>
          <w:i w:val="false"/>
          <w:color w:val="000000"/>
          <w:sz w:val="22"/>
        </w:rPr>
        <w:t>The community college shall notify the authority whenever the community college determines that an event of default has occurred or is likely to occur.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17.31(2)</w:t>
      </w:r>
      <w:r>
        <w:rPr>
          <w:rFonts w:ascii="Times New Roman" w:hAnsi="Times New Roman"/>
          <w:b w:val="false"/>
          <w:i w:val="false"/>
          <w:color w:val="000000"/>
          <w:sz w:val="22"/>
        </w:rPr>
        <w:t> </w:t>
      </w:r>
      <w:r>
        <w:rPr>
          <w:rFonts w:ascii="Times New Roman" w:hAnsi="Times New Roman"/>
          <w:b w:val="false"/>
          <w:i w:val="false"/>
          <w:color w:val="000000"/>
          <w:sz w:val="22"/>
        </w:rPr>
        <w:t>The community college shall document its efforts to reconcile the condition(s) responsible for the default and shall provide the authority with copies of all related correspondence and documents of the community college and the business or apprenticeship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17.31(3)</w:t>
      </w:r>
      <w:r>
        <w:rPr>
          <w:rFonts w:ascii="Times New Roman" w:hAnsi="Times New Roman"/>
          <w:b w:val="false"/>
          <w:i w:val="false"/>
          <w:color w:val="000000"/>
          <w:sz w:val="22"/>
        </w:rPr>
        <w:t> </w:t>
      </w:r>
      <w:r>
        <w:rPr>
          <w:rFonts w:ascii="Times New Roman" w:hAnsi="Times New Roman"/>
          <w:b w:val="false"/>
          <w:i w:val="false"/>
          <w:color w:val="000000"/>
          <w:sz w:val="22"/>
        </w:rPr>
        <w:t>The community college shall notify the authority when it has determined that an event of default cannot be cured.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17.31(4)</w:t>
      </w:r>
      <w:r>
        <w:rPr>
          <w:rFonts w:ascii="Times New Roman" w:hAnsi="Times New Roman"/>
          <w:b w:val="false"/>
          <w:i w:val="false"/>
          <w:color w:val="000000"/>
          <w:sz w:val="22"/>
        </w:rPr>
        <w:t> </w:t>
      </w:r>
      <w:r>
        <w:rPr>
          <w:rFonts w:ascii="Times New Roman" w:hAnsi="Times New Roman"/>
          <w:b w:val="false"/>
          <w:i w:val="false"/>
          <w:color w:val="000000"/>
          <w:sz w:val="22"/>
        </w:rPr>
        <w:t>When notice of failure to cure the default is received from the community college, the authority shall communicate with the business or apprenticeship sponsor, in writing, in an attempt to resolve the default.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17.31(5)</w:t>
      </w:r>
      <w:r>
        <w:rPr>
          <w:rFonts w:ascii="Times New Roman" w:hAnsi="Times New Roman"/>
          <w:b w:val="false"/>
          <w:i w:val="false"/>
          <w:color w:val="000000"/>
          <w:sz w:val="22"/>
        </w:rPr>
        <w:t> </w:t>
      </w:r>
      <w:r>
        <w:rPr>
          <w:rFonts w:ascii="Times New Roman" w:hAnsi="Times New Roman"/>
          <w:b w:val="false"/>
          <w:i w:val="false"/>
          <w:color w:val="000000"/>
          <w:sz w:val="22"/>
        </w:rPr>
        <w:t>When the authority’s efforts to reconcile are successful, the authority shall notify the community college, in writing, to continue project operations. Continuation of project operations may be subject to new conditions imposed by the authority as part of the reconciliation.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17.31(6)</w:t>
      </w:r>
      <w:r>
        <w:rPr>
          <w:rFonts w:ascii="Times New Roman" w:hAnsi="Times New Roman"/>
          <w:b w:val="false"/>
          <w:i w:val="false"/>
          <w:color w:val="000000"/>
          <w:sz w:val="22"/>
        </w:rPr>
        <w:t> </w:t>
      </w:r>
      <w:r>
        <w:rPr>
          <w:rFonts w:ascii="Times New Roman" w:hAnsi="Times New Roman"/>
          <w:b w:val="false"/>
          <w:i w:val="false"/>
          <w:color w:val="000000"/>
          <w:sz w:val="22"/>
        </w:rPr>
        <w:t>When the authority’s efforts to reconcile are unsuccessful and upon the authority’s request, the community college shall assign the agreement to the authority for appropriate proceedings at which time the authority shall institute collection procedures or notify the attorney general to initiate appropriate legal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17.31(7)</w:t>
      </w:r>
      <w:r>
        <w:rPr>
          <w:rFonts w:ascii="Times New Roman" w:hAnsi="Times New Roman"/>
          <w:b w:val="false"/>
          <w:i w:val="false"/>
          <w:color w:val="000000"/>
          <w:sz w:val="22"/>
        </w:rPr>
        <w:t> </w:t>
      </w:r>
      <w:r>
        <w:rPr>
          <w:rFonts w:ascii="Times New Roman" w:hAnsi="Times New Roman"/>
          <w:b w:val="false"/>
          <w:i w:val="false"/>
          <w:color w:val="000000"/>
          <w:sz w:val="22"/>
        </w:rPr>
        <w:t>When a community college assigns an agreement to the authority for a project declared to be in default, the community college shall return all remaining 260F funds to the authority within 45 days of assignment.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877—17.32</w:t>
      </w:r>
      <w:r>
        <w:rPr>
          <w:rFonts w:ascii="Times New Roman" w:hAnsi="Times New Roman"/>
          <w:b/>
          <w:i w:val="false"/>
          <w:color w:val="000000"/>
          <w:sz w:val="22"/>
        </w:rPr>
        <w:t xml:space="preserve">(260F) </w:t>
      </w:r>
      <w:r>
        <w:rPr>
          <w:rFonts w:ascii="Times New Roman" w:hAnsi="Times New Roman"/>
          <w:b/>
          <w:i w:val="false"/>
          <w:color w:val="000000"/>
          <w:sz w:val="22"/>
        </w:rPr>
        <w:t xml:space="preserve">Remedies upon 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17.32(1)</w:t>
      </w:r>
      <w:r>
        <w:rPr>
          <w:rFonts w:ascii="Times New Roman" w:hAnsi="Times New Roman"/>
          <w:b w:val="false"/>
          <w:i w:val="false"/>
          <w:color w:val="000000"/>
          <w:sz w:val="22"/>
        </w:rPr>
        <w:t> </w:t>
      </w:r>
      <w:r>
        <w:rPr>
          <w:rFonts w:ascii="Times New Roman" w:hAnsi="Times New Roman"/>
          <w:b w:val="false"/>
          <w:i w:val="false"/>
          <w:color w:val="000000"/>
          <w:sz w:val="22"/>
        </w:rPr>
        <w:t>When a community college determines that a business or apprenticeship sponsor is in default, and the default has not been cured within the time period stated in the contract, the community college is authorized to withhold training funds and payments to the business or apprenticeship sponsor, without notice to the business or apprenticeship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17.32(2)</w:t>
      </w:r>
      <w:r>
        <w:rPr>
          <w:rFonts w:ascii="Times New Roman" w:hAnsi="Times New Roman"/>
          <w:b w:val="false"/>
          <w:i w:val="false"/>
          <w:color w:val="000000"/>
          <w:sz w:val="22"/>
        </w:rPr>
        <w:t> </w:t>
      </w:r>
      <w:r>
        <w:rPr>
          <w:rFonts w:ascii="Times New Roman" w:hAnsi="Times New Roman"/>
          <w:b w:val="false"/>
          <w:i w:val="false"/>
          <w:color w:val="000000"/>
          <w:sz w:val="22"/>
        </w:rPr>
        <w:t>The attorney general may take whatever action at law or in equity as necessary and desirable to satisfy the default.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17.32(3)</w:t>
      </w:r>
      <w:r>
        <w:rPr>
          <w:rFonts w:ascii="Times New Roman" w:hAnsi="Times New Roman"/>
          <w:b w:val="false"/>
          <w:i w:val="false"/>
          <w:color w:val="000000"/>
          <w:sz w:val="22"/>
        </w:rPr>
        <w:t> </w:t>
      </w:r>
      <w:r>
        <w:rPr>
          <w:rFonts w:ascii="Times New Roman" w:hAnsi="Times New Roman"/>
          <w:b w:val="false"/>
          <w:i w:val="false"/>
          <w:color w:val="000000"/>
          <w:sz w:val="22"/>
        </w:rPr>
        <w:t>No demand of amount due, from the community college to the business or apprenticeship sponsor, written or otherwise, is required to establish the business’s or apprenticeship sponsor’s financial liability.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17.32(4)</w:t>
      </w:r>
      <w:r>
        <w:rPr>
          <w:rFonts w:ascii="Times New Roman" w:hAnsi="Times New Roman"/>
          <w:b w:val="false"/>
          <w:i w:val="false"/>
          <w:color w:val="000000"/>
          <w:sz w:val="22"/>
        </w:rPr>
        <w:t> </w:t>
      </w:r>
      <w:r>
        <w:rPr>
          <w:rFonts w:ascii="Times New Roman" w:hAnsi="Times New Roman"/>
          <w:b w:val="false"/>
          <w:i w:val="false"/>
          <w:color w:val="000000"/>
          <w:sz w:val="22"/>
        </w:rPr>
        <w:t>No remedy conferred upon or reserved to the community college, the authority, or the attorney general by the Act, these rules, or the training agreement is intended to be exclusive of any other current or future remedies existing in law, in equity, or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17.32(5)</w:t>
      </w:r>
      <w:r>
        <w:rPr>
          <w:rFonts w:ascii="Times New Roman" w:hAnsi="Times New Roman"/>
          <w:b w:val="false"/>
          <w:i w:val="false"/>
          <w:color w:val="000000"/>
          <w:sz w:val="22"/>
        </w:rPr>
        <w:t> </w:t>
      </w:r>
      <w:r>
        <w:rPr>
          <w:rFonts w:ascii="Times New Roman" w:hAnsi="Times New Roman"/>
          <w:b w:val="false"/>
          <w:i w:val="false"/>
          <w:color w:val="000000"/>
          <w:sz w:val="22"/>
        </w:rPr>
        <w:t>Any delay or omission by the community college, the authority, or the attorney general, to exercise any right or power prescribed by the Act, these rules, or the training agreement does not relinquish or diminish authority to act and does not constitute a waiver of default status. Any such right or power may be exercised at any time required and as often as may be deemed 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17.32(6)</w:t>
      </w:r>
      <w:r>
        <w:rPr>
          <w:rFonts w:ascii="Times New Roman" w:hAnsi="Times New Roman"/>
          <w:b w:val="false"/>
          <w:i w:val="false"/>
          <w:color w:val="000000"/>
          <w:sz w:val="22"/>
        </w:rPr>
        <w:t> </w:t>
      </w:r>
      <w:r>
        <w:rPr>
          <w:rFonts w:ascii="Times New Roman" w:hAnsi="Times New Roman"/>
          <w:b w:val="false"/>
          <w:i w:val="false"/>
          <w:color w:val="000000"/>
          <w:sz w:val="22"/>
        </w:rPr>
        <w:t>Unless required by these rules, neither the community college, authority, nor attorney general is required to provide written or other notice to the business or apprenticeship sponsor regarding any circumstance related to and including a declaration of an event of default.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17.32(7)</w:t>
      </w:r>
      <w:r>
        <w:rPr>
          <w:rFonts w:ascii="Times New Roman" w:hAnsi="Times New Roman"/>
          <w:b w:val="false"/>
          <w:i w:val="false"/>
          <w:color w:val="000000"/>
          <w:sz w:val="22"/>
        </w:rPr>
        <w:t> </w:t>
      </w:r>
      <w:r>
        <w:rPr>
          <w:rFonts w:ascii="Times New Roman" w:hAnsi="Times New Roman"/>
          <w:b w:val="false"/>
          <w:i w:val="false"/>
          <w:color w:val="000000"/>
          <w:sz w:val="22"/>
        </w:rPr>
        <w:t>In the event any requirement of the Act, these rules, or the training agreement, relating to a default, should be breached by either party and then waived by the other party, such waiver shall be limited to the specific breach being waived and shall have no bearing on any subsequent breach.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877—17.33</w:t>
      </w:r>
      <w:r>
        <w:rPr>
          <w:rFonts w:ascii="Times New Roman" w:hAnsi="Times New Roman"/>
          <w:b/>
          <w:i w:val="false"/>
          <w:color w:val="000000"/>
          <w:sz w:val="22"/>
        </w:rPr>
        <w:t xml:space="preserve">(260F) </w:t>
      </w:r>
      <w:r>
        <w:rPr>
          <w:rFonts w:ascii="Times New Roman" w:hAnsi="Times New Roman"/>
          <w:b/>
          <w:i w:val="false"/>
          <w:color w:val="000000"/>
          <w:sz w:val="22"/>
        </w:rPr>
        <w:t xml:space="preserve">Return of unused funds. </w:t>
      </w:r>
      <w:r>
        <w:rPr>
          <w:rFonts w:ascii="Times New Roman" w:hAnsi="Times New Roman"/>
          <w:b w:val="false"/>
          <w:i w:val="false"/>
          <w:color w:val="000000"/>
          <w:sz w:val="22"/>
        </w:rPr>
        <w:t>The community college shall return all unused funds to the authority within 45 days of project completion or within 45 days after being notified by the authority that a project is in default.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877—17.34</w:t>
      </w:r>
      <w:r>
        <w:rPr>
          <w:rFonts w:ascii="Times New Roman" w:hAnsi="Times New Roman"/>
          <w:b/>
          <w:i w:val="false"/>
          <w:color w:val="000000"/>
          <w:sz w:val="22"/>
        </w:rPr>
        <w:t xml:space="preserve">(260F) </w:t>
      </w:r>
      <w:r>
        <w:rPr>
          <w:rFonts w:ascii="Times New Roman" w:hAnsi="Times New Roman"/>
          <w:b/>
          <w:i w:val="false"/>
          <w:color w:val="000000"/>
          <w:sz w:val="22"/>
        </w:rPr>
        <w:t xml:space="preserve">Open records. </w:t>
      </w:r>
      <w:r>
        <w:rPr>
          <w:rFonts w:ascii="Times New Roman" w:hAnsi="Times New Roman"/>
          <w:b w:val="false"/>
          <w:i w:val="false"/>
          <w:color w:val="000000"/>
          <w:sz w:val="22"/>
        </w:rPr>
        <w:t xml:space="preserve">Information submitted to the authority is subject to Iowa Code chapter </w:t>
      </w:r>
      <w:hyperlink r:id="rId3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the public records law. Applications for training funds submitted to the authority are available for public examination. If a business provides information which the business believes contains trade secrets recognized and protected as such by law, or the release of which would give an advantage to competitors and serves no public purpose or which meets other provisions for confidential treatment as authorized in Iowa Code section </w:t>
      </w:r>
      <w:hyperlink r:id="rId3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establishes that such information is subject to confidential treatment under Iowa Code section </w:t>
      </w:r>
      <w:hyperlink r:id="rId3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as otherwise provided for by law, then such information shall be kept confidential. Rule 261—195.5(17A,22) describes how a person may request a record to be treated as confidential and withheld from public examination. Businesses requesting confidential treatment of certain information submitted to the authority shall follow the procedures described in rule 261—195.5(17A,22). The authority will process such requests as outlined in rule 261—195.5(17A,22).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877—17.35</w:t>
      </w:r>
      <w:r>
        <w:rPr>
          <w:rFonts w:ascii="Times New Roman" w:hAnsi="Times New Roman"/>
          <w:b/>
          <w:i w:val="false"/>
          <w:color w:val="000000"/>
          <w:sz w:val="22"/>
        </w:rPr>
        <w:t xml:space="preserve">(260F) </w:t>
      </w:r>
      <w:r>
        <w:rPr>
          <w:rFonts w:ascii="Times New Roman" w:hAnsi="Times New Roman"/>
          <w:b/>
          <w:i w:val="false"/>
          <w:color w:val="000000"/>
          <w:sz w:val="22"/>
        </w:rPr>
        <w:t xml:space="preserve">Required forms. </w:t>
      </w:r>
      <w:r>
        <w:rPr>
          <w:rFonts w:ascii="Times New Roman" w:hAnsi="Times New Roman"/>
          <w:b w:val="false"/>
          <w:i w:val="false"/>
          <w:color w:val="000000"/>
          <w:sz w:val="22"/>
        </w:rPr>
        <w:t>The community college is required to complete and upload the following forms, as applicable, within the 260F data system:</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General Application for Assistance, Form 260F-1;</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Consortium Application for Assistance, Form 260F-1A;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Business Network Application for Assistance (Community College), Form 260F-1B;</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Business Network Application for Assistance (Authority), Form 260F-1C;</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Apprenticeship Application for Assistance (Community College), Form 260F-1D;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Apprenticeship Application for Assistance (Authority), Form 260F-1E;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 Letter of Intent, Form 260F-2;</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Apprenticeship Letter of Intent, Form 260F-2A;</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Request for Release of Funds, Form 260F-3;</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Training Agreement, Form 260F-4;</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Consortium Training Agreement, Form 260F-4A;</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Business Network Training Agreement (Community College), Form 260F-4B;</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Apprenticeship Training Agreement (Community College), Form 260F-4D;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Business Network Training Agreement (Authority), Form 260F-4C;</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Apprenticeship Training Agreement (Authority), Form 260F-4E;</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Performance Report, Form 260F-5;</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Notice of Possible Default, Form 260F-6;</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Declaration of Default, Form 260F-7;</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College and Business Certification, 260F-8;</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Environmental Quality Form, to include a Solid Waste Plan and Hazardous Waste Plan (if applicable), Form 260F-9.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3463C</w:t>
      </w:r>
      <w:r>
        <w:rPr>
          <w:rFonts w:ascii="Times New Roman" w:hAnsi="Times New Roman"/>
          <w:b w:val="false"/>
          <w:i w:val="false"/>
          <w:color w:val="000000"/>
          <w:sz w:val="16"/>
        </w:rPr>
        <w:t>, IAB 11/22/17, effective 12/27/17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6">
        <w:r>
          <w:rPr>
            <w:rStyle w:val="Hyperlink"/>
            <w:rFonts w:ascii="Times New Roman" w:hAnsi="Times New Roman"/>
            <w:b w:val="false"/>
            <w:i w:val="false"/>
            <w:color w:val="000000"/>
            <w:sz w:val="22"/>
          </w:rPr>
          <w:t>260F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7/26/85—published 8/14/85, effective 7/26/85]</w:t>
      </w:r>
    </w:p>
    <w:p>
      <w:pPr>
        <w:spacing w:before="0" w:after="0"/>
        <w:ind w:left="120"/>
        <w:jc w:val="center"/>
      </w:pPr>
      <w:r>
        <w:rPr>
          <w:rFonts w:ascii="Times New Roman" w:hAnsi="Times New Roman"/>
          <w:b w:val="false"/>
          <w:i w:val="false"/>
          <w:color w:val="000000"/>
          <w:sz w:val="21"/>
        </w:rPr>
        <w:t>[Filed emergency 12/19/86—published 1/14/87, effective 12/19/86]</w:t>
      </w:r>
    </w:p>
    <w:p>
      <w:pPr>
        <w:spacing w:before="0" w:after="0"/>
        <w:ind w:left="120"/>
        <w:jc w:val="center"/>
      </w:pPr>
      <w:r>
        <w:rPr>
          <w:rFonts w:ascii="Times New Roman" w:hAnsi="Times New Roman"/>
          <w:b w:val="false"/>
          <w:i w:val="false"/>
          <w:color w:val="000000"/>
          <w:sz w:val="21"/>
        </w:rPr>
        <w:t>[Filed 9/30/88, Notice 7/27/88—published 10/19/88, effective 11/23/88]</w:t>
      </w:r>
    </w:p>
    <w:p>
      <w:pPr>
        <w:spacing w:before="0" w:after="0"/>
        <w:ind w:left="120"/>
        <w:jc w:val="center"/>
      </w:pPr>
      <w:r>
        <w:rPr>
          <w:rFonts w:ascii="Times New Roman" w:hAnsi="Times New Roman"/>
          <w:b w:val="false"/>
          <w:i w:val="false"/>
          <w:color w:val="000000"/>
          <w:sz w:val="21"/>
        </w:rPr>
        <w:t>[Filed 11/22/89, Notice 10/18/89—published 12/13/89, effective 1/17/90]</w:t>
      </w:r>
    </w:p>
    <w:p>
      <w:pPr>
        <w:spacing w:before="0" w:after="0"/>
        <w:ind w:left="120"/>
        <w:jc w:val="center"/>
      </w:pPr>
      <w:r>
        <w:rPr>
          <w:rFonts w:ascii="Times New Roman" w:hAnsi="Times New Roman"/>
          <w:b w:val="false"/>
          <w:i w:val="false"/>
          <w:color w:val="000000"/>
          <w:sz w:val="21"/>
        </w:rPr>
        <w:t>[Filed 11/20/90, Notice 9/5/90—published 12/12/90, effective 1/16/91]</w:t>
      </w:r>
    </w:p>
    <w:p>
      <w:pPr>
        <w:spacing w:before="0" w:after="0"/>
        <w:ind w:left="120"/>
        <w:jc w:val="center"/>
      </w:pPr>
      <w:r>
        <w:rPr>
          <w:rFonts w:ascii="Times New Roman" w:hAnsi="Times New Roman"/>
          <w:b w:val="false"/>
          <w:i w:val="false"/>
          <w:color w:val="000000"/>
          <w:sz w:val="21"/>
        </w:rPr>
        <w:t>[Filed 12/21/90, Notice 10/17/90—published 1/9/91, effective 2/13/91]</w:t>
      </w:r>
    </w:p>
    <w:p>
      <w:pPr>
        <w:spacing w:before="0" w:after="0"/>
        <w:ind w:left="120"/>
        <w:jc w:val="center"/>
      </w:pPr>
      <w:r>
        <w:rPr>
          <w:rFonts w:ascii="Times New Roman" w:hAnsi="Times New Roman"/>
          <w:b w:val="false"/>
          <w:i w:val="false"/>
          <w:color w:val="000000"/>
          <w:sz w:val="21"/>
        </w:rPr>
        <w:t>[Filed emergency 6/21/91 after Notice 4/17/91—published 7/10/91, effective 6/21/91]</w:t>
      </w:r>
    </w:p>
    <w:p>
      <w:pPr>
        <w:spacing w:before="0" w:after="0"/>
        <w:ind w:left="120"/>
        <w:jc w:val="center"/>
      </w:pPr>
      <w:r>
        <w:rPr>
          <w:rFonts w:ascii="Times New Roman" w:hAnsi="Times New Roman"/>
          <w:b w:val="false"/>
          <w:i w:val="false"/>
          <w:color w:val="000000"/>
          <w:sz w:val="21"/>
        </w:rPr>
        <w:t>[Filed emergency 6/19/92—published 7/8/92, effective 7/1/92]</w:t>
      </w:r>
    </w:p>
    <w:p>
      <w:pPr>
        <w:spacing w:before="0" w:after="0"/>
        <w:ind w:left="120"/>
        <w:jc w:val="center"/>
      </w:pPr>
      <w:r>
        <w:rPr>
          <w:rFonts w:ascii="Times New Roman" w:hAnsi="Times New Roman"/>
          <w:b w:val="false"/>
          <w:i w:val="false"/>
          <w:color w:val="000000"/>
          <w:sz w:val="21"/>
        </w:rPr>
        <w:t>[Filed 9/23/92, Notice 7/8/92—published 10/14/92, effective 11/18/92]</w:t>
      </w:r>
    </w:p>
    <w:p>
      <w:pPr>
        <w:spacing w:before="0" w:after="0"/>
        <w:ind w:left="120"/>
        <w:jc w:val="center"/>
      </w:pPr>
      <w:r>
        <w:rPr>
          <w:rFonts w:ascii="Times New Roman" w:hAnsi="Times New Roman"/>
          <w:b w:val="false"/>
          <w:i w:val="false"/>
          <w:color w:val="000000"/>
          <w:sz w:val="21"/>
        </w:rPr>
        <w:t>[Filed 1/24/96, Notice 12/6/95—published 2/14/96, effective 3/20/96]</w:t>
      </w:r>
    </w:p>
    <w:p>
      <w:pPr>
        <w:spacing w:before="0" w:after="0"/>
        <w:ind w:left="120"/>
        <w:jc w:val="center"/>
      </w:pPr>
      <w:r>
        <w:rPr>
          <w:rFonts w:ascii="Times New Roman" w:hAnsi="Times New Roman"/>
          <w:b w:val="false"/>
          <w:i w:val="false"/>
          <w:color w:val="000000"/>
          <w:sz w:val="21"/>
        </w:rPr>
        <w:t>[Filed emergency 6/28/96—published 7/17/96, effective 7/1/96]</w:t>
      </w:r>
    </w:p>
    <w:p>
      <w:pPr>
        <w:spacing w:before="0" w:after="0"/>
        <w:ind w:left="120"/>
        <w:jc w:val="center"/>
      </w:pPr>
      <w:r>
        <w:rPr>
          <w:rFonts w:ascii="Times New Roman" w:hAnsi="Times New Roman"/>
          <w:b w:val="false"/>
          <w:i w:val="false"/>
          <w:color w:val="000000"/>
          <w:sz w:val="21"/>
        </w:rPr>
        <w:t>[Filed 9/20/96, Notice 7/17/96—published 10/9/96, effective 11/13/96]</w:t>
      </w:r>
    </w:p>
    <w:p>
      <w:pPr>
        <w:spacing w:before="0" w:after="0"/>
        <w:ind w:left="120"/>
        <w:jc w:val="center"/>
      </w:pPr>
      <w:r>
        <w:rPr>
          <w:rFonts w:ascii="Times New Roman" w:hAnsi="Times New Roman"/>
          <w:b w:val="false"/>
          <w:i w:val="false"/>
          <w:color w:val="000000"/>
          <w:sz w:val="21"/>
        </w:rPr>
        <w:t>[Filed emergency 10/23/97 after Notice 9/10/97—published 11/19/97, effective 10/24/97]</w:t>
      </w:r>
    </w:p>
    <w:p>
      <w:pPr>
        <w:spacing w:before="0" w:after="0"/>
        <w:ind w:left="120"/>
        <w:jc w:val="center"/>
      </w:pPr>
      <w:r>
        <w:rPr>
          <w:rFonts w:ascii="Times New Roman" w:hAnsi="Times New Roman"/>
          <w:b w:val="false"/>
          <w:i w:val="false"/>
          <w:color w:val="000000"/>
          <w:sz w:val="21"/>
        </w:rPr>
        <w:t>[Filed emergency 10/22/01 after Notice 9/5/01—published 11/14/01, effective 10/22/01]</w:t>
      </w:r>
    </w:p>
    <w:p>
      <w:pPr>
        <w:spacing w:before="0" w:after="0"/>
        <w:ind w:left="120"/>
        <w:jc w:val="center"/>
      </w:pPr>
      <w:r>
        <w:rPr>
          <w:rFonts w:ascii="Times New Roman" w:hAnsi="Times New Roman"/>
          <w:b w:val="false"/>
          <w:i w:val="false"/>
          <w:color w:val="000000"/>
          <w:sz w:val="21"/>
        </w:rPr>
        <w:t>[Filed emergency 11/20/03 after Notice 9/17/03—published 12/24/03, effective 11/20/03]</w:t>
      </w:r>
    </w:p>
    <w:p>
      <w:pPr>
        <w:spacing w:before="0" w:after="0"/>
        <w:ind w:left="120"/>
        <w:jc w:val="center"/>
      </w:pPr>
      <w:r>
        <w:rPr>
          <w:rFonts w:ascii="Times New Roman" w:hAnsi="Times New Roman"/>
          <w:b w:val="false"/>
          <w:i w:val="false"/>
          <w:color w:val="000000"/>
          <w:sz w:val="21"/>
        </w:rPr>
        <w:t>[Filed emergency 7/7/05—published 8/3/05, effective 7/7/05]</w:t>
      </w:r>
    </w:p>
    <w:p>
      <w:pPr>
        <w:spacing w:before="0" w:after="0"/>
        <w:ind w:left="120"/>
        <w:jc w:val="center"/>
      </w:pPr>
      <w:r>
        <w:rPr>
          <w:rFonts w:ascii="Times New Roman" w:hAnsi="Times New Roman"/>
          <w:b w:val="false"/>
          <w:i w:val="false"/>
          <w:color w:val="000000"/>
          <w:sz w:val="21"/>
        </w:rPr>
        <w:t>[Filed 10/21/05, Notice 8/3/05—published 11/9/05, effective 12/14/05]</w:t>
      </w:r>
    </w:p>
    <w:p>
      <w:pPr>
        <w:spacing w:before="0" w:after="0"/>
        <w:ind w:left="120"/>
        <w:jc w:val="center"/>
      </w:pPr>
      <w:r>
        <w:rPr>
          <w:rFonts w:ascii="Times New Roman" w:hAnsi="Times New Roman"/>
          <w:b w:val="false"/>
          <w:i w:val="false"/>
          <w:color w:val="000000"/>
          <w:sz w:val="21"/>
        </w:rPr>
        <w:t>[Filed ARC 3383C</w:t>
      </w:r>
      <w:r>
        <w:rPr>
          <w:rFonts w:ascii="Times New Roman" w:hAnsi="Times New Roman"/>
          <w:b w:val="false"/>
          <w:i w:val="false"/>
          <w:color w:val="000000"/>
          <w:sz w:val="21"/>
        </w:rPr>
        <w:t xml:space="preserve"> (Notice ARC 2995C, IAB 3/29/17)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3463C</w:t>
      </w:r>
      <w:r>
        <w:rPr>
          <w:rFonts w:ascii="Times New Roman" w:hAnsi="Times New Roman"/>
          <w:b w:val="false"/>
          <w:i w:val="false"/>
          <w:color w:val="000000"/>
          <w:sz w:val="21"/>
        </w:rPr>
        <w:t xml:space="preserve"> (Notice ARC 3268C, IAB 8/30/17)</w:t>
      </w:r>
      <w:r>
        <w:rPr>
          <w:rFonts w:ascii="Times New Roman" w:hAnsi="Times New Roman"/>
          <w:b w:val="false"/>
          <w:i w:val="false"/>
          <w:color w:val="000000"/>
          <w:sz w:val="21"/>
        </w:rPr>
        <w:t>, IAB 11/22/17, effective 12/27/17]</w:t>
      </w:r>
    </w:p>
    <w:p>
      <w:pPr>
        <w:spacing w:before="0" w:after="0"/>
        <w:ind w:left="120"/>
        <w:jc w:val="center"/>
      </w:pPr>
      <w:r>
        <w:rPr>
          <w:rFonts w:ascii="Times New Roman" w:hAnsi="Times New Roman"/>
          <w:b w:val="false"/>
          <w:i w:val="false"/>
          <w:color w:val="000000"/>
          <w:sz w:val="21"/>
        </w:rPr>
        <w:t>[Filed ARC 6319C</w:t>
      </w:r>
      <w:r>
        <w:rPr>
          <w:rFonts w:ascii="Times New Roman" w:hAnsi="Times New Roman"/>
          <w:b w:val="false"/>
          <w:i w:val="false"/>
          <w:color w:val="000000"/>
          <w:sz w:val="21"/>
        </w:rPr>
        <w:t xml:space="preserve"> (Notice ARC 6202C, IAB 2/23/22)</w:t>
      </w:r>
      <w:r>
        <w:rPr>
          <w:rFonts w:ascii="Times New Roman" w:hAnsi="Times New Roman"/>
          <w:b w:val="false"/>
          <w:i w:val="false"/>
          <w:color w:val="000000"/>
          <w:sz w:val="21"/>
        </w:rPr>
        <w:t>, IAB 5/18/22, effective 6/22/22]</w:t>
      </w:r>
    </w:p>
    <w:p>
      <w:pPr>
        <w:spacing w:before="0" w:after="0"/>
        <w:ind w:left="120"/>
        <w:jc w:val="center"/>
      </w:pPr>
      <w:r>
        <w:rPr>
          <w:rFonts w:ascii="Times New Roman" w:hAnsi="Times New Roman"/>
          <w:b w:val="false"/>
          <w:i w:val="false"/>
          <w:color w:val="000000"/>
          <w:sz w:val="21"/>
        </w:rPr>
        <w:t>[Filed ARC 7067C</w:t>
      </w:r>
      <w:r>
        <w:rPr>
          <w:rFonts w:ascii="Times New Roman" w:hAnsi="Times New Roman"/>
          <w:b w:val="false"/>
          <w:i w:val="false"/>
          <w:color w:val="000000"/>
          <w:sz w:val="21"/>
        </w:rPr>
        <w:t xml:space="preserve"> (Notice ARC 6916C, IAB 2/22/23)</w:t>
      </w:r>
      <w:r>
        <w:rPr>
          <w:rFonts w:ascii="Times New Roman" w:hAnsi="Times New Roman"/>
          <w:b w:val="false"/>
          <w:i w:val="false"/>
          <w:color w:val="000000"/>
          <w:sz w:val="21"/>
        </w:rPr>
        <w:t>, IAB 9/6/23, effective 10/11/23]</w:t>
      </w:r>
    </w:p>
    <w:p>
      <w:pPr>
        <w:spacing w:before="0" w:after="0"/>
        <w:ind w:left="120"/>
        <w:jc w:val="center"/>
      </w:pPr>
      <w:r>
        <w:rPr>
          <w:rFonts w:ascii="Times New Roman" w:hAnsi="Times New Roman"/>
          <w:b w:val="false"/>
          <w:i w:val="false"/>
          <w:color w:val="000000"/>
          <w:sz w:val="21"/>
        </w:rPr>
        <w:t>[Editorial change: IAC Supplement 10/18/23]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0F.pdf" Type="http://schemas.openxmlformats.org/officeDocument/2006/relationships/hyperlink" Id="rId5"/>
    <Relationship TargetMode="External" Target="https://www.legis.iowa.gov/docs/ico/chapter/260F.pdf" Type="http://schemas.openxmlformats.org/officeDocument/2006/relationships/hyperlink" Id="rId6"/>
    <Relationship TargetMode="External" Target="https://www.legis.iowa.gov/docs/ico/chapter/84A.1.pdf" Type="http://schemas.openxmlformats.org/officeDocument/2006/relationships/hyperlink" Id="rId7"/>
    <Relationship TargetMode="External" Target="https://www.legis.iowa.gov/docs/ico/chapter/260C.pdf" Type="http://schemas.openxmlformats.org/officeDocument/2006/relationships/hyperlink" Id="rId8"/>
    <Relationship TargetMode="External" Target="https://www.legis.iowa.gov/docs/ico/chapter/260E.pdf" Type="http://schemas.openxmlformats.org/officeDocument/2006/relationships/hyperlink" Id="rId9"/>
    <Relationship TargetMode="External" Target="https://www.legis.iowa.gov/docs/ico/chapter/260F.6A.pdf" Type="http://schemas.openxmlformats.org/officeDocument/2006/relationships/hyperlink" Id="rId10"/>
    <Relationship TargetMode="External" Target="https://www.legis.iowa.gov/docs/ico/chapter/260F.6B.pdf" Type="http://schemas.openxmlformats.org/officeDocument/2006/relationships/hyperlink" Id="rId11"/>
    <Relationship TargetMode="External" Target="https://www.legis.iowa.gov/docs/ico/chapter/260C.18C.pdf" Type="http://schemas.openxmlformats.org/officeDocument/2006/relationships/hyperlink" Id="rId12"/>
    <Relationship TargetMode="External" Target="https://www.legis.iowa.gov/docs/iac/rule/261.7.9.pdf" Type="http://schemas.openxmlformats.org/officeDocument/2006/relationships/hyperlink" Id="rId13"/>
    <Relationship TargetMode="External" Target="https://www.legis.iowa.gov/docs/iac/rule/261.7.3.pdf" Type="http://schemas.openxmlformats.org/officeDocument/2006/relationships/hyperlink" Id="rId14"/>
    <Relationship TargetMode="External" Target="https://www.legis.iowa.gov/docs/iac/rule/261.7.3.pdf" Type="http://schemas.openxmlformats.org/officeDocument/2006/relationships/hyperlink" Id="rId15"/>
    <Relationship TargetMode="External" Target="https://www.legis.iowa.gov/docs/iac/rule/261.7.3.pdf" Type="http://schemas.openxmlformats.org/officeDocument/2006/relationships/hyperlink" Id="rId16"/>
    <Relationship TargetMode="External" Target="https://www.legis.iowa.gov/docs/iac/rule/261.7.3.pdf" Type="http://schemas.openxmlformats.org/officeDocument/2006/relationships/hyperlink" Id="rId17"/>
    <Relationship TargetMode="External" Target="https://www.legis.iowa.gov/docs/iac/rule/261.7.3.pdf" Type="http://schemas.openxmlformats.org/officeDocument/2006/relationships/hyperlink" Id="rId18"/>
    <Relationship TargetMode="External" Target="https://www.legis.iowa.gov/docs/iac/rule/261.8.12.pdf" Type="http://schemas.openxmlformats.org/officeDocument/2006/relationships/hyperlink" Id="rId19"/>
    <Relationship TargetMode="External" Target="https://www.legis.iowa.gov/docs/iac/rule/261.7.21.pdf" Type="http://schemas.openxmlformats.org/officeDocument/2006/relationships/hyperlink" Id="rId20"/>
    <Relationship TargetMode="External" Target="https://www.legis.iowa.gov/docs/ico/chapter/84B.2.pdf" Type="http://schemas.openxmlformats.org/officeDocument/2006/relationships/hyperlink" Id="rId21"/>
    <Relationship TargetMode="External" Target="https://www.legis.iowa.gov/docs/ico/chapter/260F.pdf" Type="http://schemas.openxmlformats.org/officeDocument/2006/relationships/hyperlink" Id="rId22"/>
    <Relationship TargetMode="External" Target="https://www.legis.iowa.gov/docs/iac/rule/261.7.30.pdf" Type="http://schemas.openxmlformats.org/officeDocument/2006/relationships/hyperlink" Id="rId23"/>
    <Relationship TargetMode="External" Target="https://www.legis.iowa.gov/docs/iac/rule/261.7.30.pdf" Type="http://schemas.openxmlformats.org/officeDocument/2006/relationships/hyperlink" Id="rId24"/>
    <Relationship TargetMode="External" Target="https://www.legis.iowa.gov/docs/iac/rule/261.7.30.pdf" Type="http://schemas.openxmlformats.org/officeDocument/2006/relationships/hyperlink" Id="rId25"/>
    <Relationship TargetMode="External" Target="https://www.legis.iowa.gov/docs/iac/rule/261.7.3.pdf" Type="http://schemas.openxmlformats.org/officeDocument/2006/relationships/hyperlink" Id="rId26"/>
    <Relationship TargetMode="External" Target="https://www.legis.iowa.gov/docs/ico/chapter/260C.44.pdf" Type="http://schemas.openxmlformats.org/officeDocument/2006/relationships/hyperlink" Id="rId27"/>
    <Relationship TargetMode="External" Target="https://www.legis.iowa.gov/docs/ico/chapter/260F.6.pdf" Type="http://schemas.openxmlformats.org/officeDocument/2006/relationships/hyperlink" Id="rId28"/>
    <Relationship TargetMode="External" Target="https://www.legis.iowa.gov/docs/iac/rule/261.7.30.pdf" Type="http://schemas.openxmlformats.org/officeDocument/2006/relationships/hyperlink" Id="rId29"/>
    <Relationship TargetMode="External" Target="https://www.legis.iowa.gov/docs/iac/rule/261.7.30.pdf" Type="http://schemas.openxmlformats.org/officeDocument/2006/relationships/hyperlink" Id="rId30"/>
    <Relationship TargetMode="External" Target="https://www.legis.iowa.gov/docs/iac/rule/261.7.30.pdf" Type="http://schemas.openxmlformats.org/officeDocument/2006/relationships/hyperlink" Id="rId31"/>
    <Relationship TargetMode="External" Target="https://www.legis.iowa.gov/docs/iac/rule/261.7.30.pdf" Type="http://schemas.openxmlformats.org/officeDocument/2006/relationships/hyperlink" Id="rId32"/>
    <Relationship TargetMode="External" Target="https://www.legis.iowa.gov/docs/ico/chapter/22.pdf" Type="http://schemas.openxmlformats.org/officeDocument/2006/relationships/hyperlink" Id="rId33"/>
    <Relationship TargetMode="External" Target="https://www.legis.iowa.gov/docs/ico/chapter/22.7.pdf" Type="http://schemas.openxmlformats.org/officeDocument/2006/relationships/hyperlink" Id="rId34"/>
    <Relationship TargetMode="External" Target="https://www.legis.iowa.gov/docs/ico/chapter/22.7.pdf" Type="http://schemas.openxmlformats.org/officeDocument/2006/relationships/hyperlink" Id="rId35"/>
    <Relationship TargetMode="External" Target="https://www.legis.iowa.gov/docs/ico/chapter/260F.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