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WORKFORCE DEVELOPMENT BOARD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877—1.1</w:t>
      </w:r>
      <w:r>
        <w:rPr>
          <w:rFonts w:ascii="Times New Roman" w:hAnsi="Times New Roman"/>
          <w:b/>
          <w:i w:val="false"/>
          <w:color w:val="000000"/>
          <w:sz w:val="22"/>
        </w:rPr>
        <w:t xml:space="preserve">(84A,PL113-128) </w:t>
      </w:r>
      <w:r>
        <w:rPr>
          <w:rFonts w:ascii="Times New Roman" w:hAnsi="Times New Roman"/>
          <w:b/>
          <w:i w:val="false"/>
          <w:color w:val="000000"/>
          <w:sz w:val="22"/>
        </w:rPr>
        <w:t xml:space="preserve">Composition.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color w:val="000000"/>
          <w:sz w:val="22"/>
        </w:rPr>
        <w:t xml:space="preserve">Voting members. </w:t>
      </w:r>
      <w:r>
        <w:rPr>
          <w:rFonts w:ascii="Times New Roman" w:hAnsi="Times New Roman"/>
          <w:b w:val="false"/>
          <w:i w:val="false"/>
          <w:color w:val="000000"/>
          <w:sz w:val="22"/>
        </w:rPr>
        <w:t xml:space="preserve">The board shall have voting members in accordance with Iowa Code section </w:t>
      </w:r>
      <w:hyperlink r:id="rId5">
        <w:r>
          <w:rPr>
            <w:rStyle w:val="Hyperlink"/>
            <w:rFonts w:ascii="Times New Roman" w:hAnsi="Times New Roman"/>
            <w:b w:val="false"/>
            <w:i w:val="false"/>
            <w:color w:val="000000"/>
            <w:sz w:val="22"/>
          </w:rPr>
          <w:t>84A.1A(1)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Section 101(b) of the Workforce Innovation and Opportunity Act (WIOA),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113-128. For purposes of the board’s membership criteria, the following terms shall have the following meanings: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“Community-based organization” </w:t>
      </w:r>
      <w:r>
        <w:rPr>
          <w:rFonts w:ascii="Times New Roman" w:hAnsi="Times New Roman"/>
          <w:b w:val="false"/>
          <w:i w:val="false"/>
          <w:color w:val="000000"/>
          <w:sz w:val="22"/>
        </w:rPr>
        <w:t>means a private nonprofit organization (which may include a faith-based organization) that is representative of a community or a significant segment of a community and that has demonstrated expertise and effectiveness in the field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integrated employment” </w:t>
      </w:r>
      <w:r>
        <w:rPr>
          <w:rFonts w:ascii="Times New Roman" w:hAnsi="Times New Roman"/>
          <w:b w:val="false"/>
          <w:i w:val="false"/>
          <w:color w:val="000000"/>
          <w:sz w:val="22"/>
        </w:rPr>
        <w:t>shall have the meaning given the term in Section 7 of the Rehabilitation Act of 1973 (29 United States Code Section 705), for individuals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“Demonstrated expertise and effectiveness” </w:t>
      </w:r>
      <w:r>
        <w:rPr>
          <w:rFonts w:ascii="Times New Roman" w:hAnsi="Times New Roman"/>
          <w:b w:val="false"/>
          <w:i w:val="false"/>
          <w:color w:val="000000"/>
          <w:sz w:val="22"/>
        </w:rPr>
        <w:t>means that an individual has documented leadership in developing or implementing workforce development, human resources, training and development, or a core program function, which may include individuals with experience in education or the training of job seekers with barriers to employment, as defined in Section 3(24) of WIOA, including but not limited to serving veterans; providing or supporting competitive integrated employment for individuals with disabilities; or serving eligible youth.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youth” </w:t>
      </w:r>
      <w:r>
        <w:rPr>
          <w:rFonts w:ascii="Times New Roman" w:hAnsi="Times New Roman"/>
          <w:b w:val="false"/>
          <w:i w:val="false"/>
          <w:color w:val="000000"/>
          <w:sz w:val="22"/>
        </w:rPr>
        <w:t>means, except as provided in subtitles C and D of Title I of WIOA, in-school youth, as described in Section 129(a)(1)(B) of WIOA, or out-of-school youth, as described in Section 129(a)(1)(C) of WIOA.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“In-demand industry sector” </w:t>
      </w:r>
      <w:r>
        <w:rPr>
          <w:rFonts w:ascii="Times New Roman" w:hAnsi="Times New Roman"/>
          <w:b w:val="false"/>
          <w:i w:val="false"/>
          <w:color w:val="000000"/>
          <w:sz w:val="22"/>
        </w:rPr>
        <w:t>means an industry sector that has a substantial current or potential impact (including through jobs that lead to economic self-sufficiency and opportunities for advancement) on the state economy and that contributes to the growth or stability of other supporting businesses, or the growth of other industry sectors.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“In-demand occupation” </w:t>
      </w:r>
      <w:r>
        <w:rPr>
          <w:rFonts w:ascii="Times New Roman" w:hAnsi="Times New Roman"/>
          <w:b w:val="false"/>
          <w:i w:val="false"/>
          <w:color w:val="000000"/>
          <w:sz w:val="22"/>
        </w:rPr>
        <w:t>means an occupation that currently has or is projected to have a number of positions (including positions that lead to economic self-sufficiency and opportunities for advancement) in an industry sector so as to have a significant impact on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“Optimum policymaking authority” </w:t>
      </w:r>
      <w:r>
        <w:rPr>
          <w:rFonts w:ascii="Times New Roman" w:hAnsi="Times New Roman"/>
          <w:b w:val="false"/>
          <w:i w:val="false"/>
          <w:color w:val="000000"/>
          <w:sz w:val="22"/>
        </w:rPr>
        <w:t>means that an individual can reasonably be expected to speak affirmatively on behalf of the entity the individual represents and to commit that entity to a chosen course of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“Veteran” </w:t>
      </w:r>
      <w:r>
        <w:rPr>
          <w:rFonts w:ascii="Times New Roman" w:hAnsi="Times New Roman"/>
          <w:b w:val="false"/>
          <w:i w:val="false"/>
          <w:color w:val="000000"/>
          <w:sz w:val="22"/>
        </w:rPr>
        <w:t>has the meaning given the term in 38 United States Code Section 101.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color w:val="000000"/>
          <w:sz w:val="22"/>
        </w:rPr>
        <w:t xml:space="preserve">Nonvoting members. </w:t>
      </w:r>
      <w:r>
        <w:rPr>
          <w:rFonts w:ascii="Times New Roman" w:hAnsi="Times New Roman"/>
          <w:b w:val="false"/>
          <w:i w:val="false"/>
          <w:color w:val="000000"/>
          <w:sz w:val="22"/>
        </w:rPr>
        <w:t xml:space="preserve">The board shall have nonvoting members in accordance with Iowa Code section </w:t>
      </w:r>
      <w:hyperlink r:id="rId6">
        <w:r>
          <w:rPr>
            <w:rStyle w:val="Hyperlink"/>
            <w:rFonts w:ascii="Times New Roman" w:hAnsi="Times New Roman"/>
            <w:b w:val="false"/>
            <w:i w:val="false"/>
            <w:color w:val="000000"/>
            <w:sz w:val="22"/>
          </w:rPr>
          <w:t>84A.1A(1)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color w:val="000000"/>
          <w:sz w:val="22"/>
        </w:rPr>
        <w:t xml:space="preserve">Chairperson. </w:t>
      </w:r>
      <w:r>
        <w:rPr>
          <w:rFonts w:ascii="Times New Roman" w:hAnsi="Times New Roman"/>
          <w:b w:val="false"/>
          <w:i w:val="false"/>
          <w:color w:val="000000"/>
          <w:sz w:val="22"/>
        </w:rPr>
        <w:t>The governor shall select a chairperson for the board from among the members who are representatives of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3610C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877—1.2</w:t>
      </w:r>
      <w:r>
        <w:rPr>
          <w:rFonts w:ascii="Times New Roman" w:hAnsi="Times New Roman"/>
          <w:b/>
          <w:i w:val="false"/>
          <w:color w:val="000000"/>
          <w:sz w:val="22"/>
        </w:rPr>
        <w:t xml:space="preserve">(84A) </w:t>
      </w:r>
      <w:r>
        <w:rPr>
          <w:rFonts w:ascii="Times New Roman" w:hAnsi="Times New Roman"/>
          <w:b/>
          <w:i w:val="false"/>
          <w:color w:val="000000"/>
          <w:sz w:val="22"/>
        </w:rPr>
        <w:t xml:space="preserve">Meetings. </w:t>
      </w:r>
      <w:r>
        <w:rPr>
          <w:rFonts w:ascii="Times New Roman" w:hAnsi="Times New Roman"/>
          <w:b w:val="false"/>
          <w:i w:val="false"/>
          <w:color w:val="000000"/>
          <w:sz w:val="22"/>
        </w:rPr>
        <w:t>The board shall meet at the call of the chairperson or when a majority of members of the board file a written request of the chairperson for a meeting. Written notice of the time and place of each meeting shall be given to each member of the board. A majority of the voting members constitutes a quorum.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3610C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877—1.3</w:t>
      </w:r>
      <w:r>
        <w:rPr>
          <w:rFonts w:ascii="Times New Roman" w:hAnsi="Times New Roman"/>
          <w:b/>
          <w:i w:val="false"/>
          <w:color w:val="000000"/>
          <w:sz w:val="22"/>
        </w:rPr>
        <w:t xml:space="preserve">(84A,PL113-128) </w:t>
      </w:r>
      <w:r>
        <w:rPr>
          <w:rFonts w:ascii="Times New Roman" w:hAnsi="Times New Roman"/>
          <w:b/>
          <w:i w:val="false"/>
          <w:color w:val="000000"/>
          <w:sz w:val="22"/>
        </w:rPr>
        <w:t xml:space="preserve">Purpose and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 board is to convene state, regional, and local workforce system and partners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Enhance the capacity and performance of the workforce development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Align and improve the outcomes and effectiveness of federally funded and other workforce programs and investments and, through these efforts, promote economic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Engage public workforce system representatives, including businesses, education providers, economic development, labor representatives, and other stakeholders to help the workforce development system achieve the purpose of the Workforce Innovation and Opportunity Act,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113-128;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 to achieve the state’s strategic and operational vision and goals as outlined in the state plan under Iowa Code section </w:t>
      </w:r>
      <w:hyperlink r:id="rId7">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 xml:space="preserve"> and the Workforce Innovation and Opportunity Act,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113-128.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 xml:space="preserve">The board shall perform the duties outlined in Iowa Code section </w:t>
      </w:r>
      <w:hyperlink r:id="rId8">
        <w:r>
          <w:rPr>
            <w:rStyle w:val="Hyperlink"/>
            <w:rFonts w:ascii="Times New Roman" w:hAnsi="Times New Roman"/>
            <w:b w:val="false"/>
            <w:i w:val="false"/>
            <w:color w:val="000000"/>
            <w:sz w:val="22"/>
          </w:rPr>
          <w:t>84A.1B</w:t>
        </w:r>
      </w:hyperlink>
      <w:r>
        <w:rPr>
          <w:rFonts w:ascii="Times New Roman" w:hAnsi="Times New Roman"/>
          <w:b w:val="false"/>
          <w:i w:val="false"/>
          <w:color w:val="000000"/>
          <w:sz w:val="22"/>
        </w:rPr>
        <w:t xml:space="preserve"> and other functions as necessary and proper to carry out its responsibilities under the Workforce Innovation and Opportunity Act,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113-128.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3610C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877—1.4</w:t>
      </w:r>
      <w:r>
        <w:rPr>
          <w:rFonts w:ascii="Times New Roman" w:hAnsi="Times New Roman"/>
          <w:b/>
          <w:i w:val="false"/>
          <w:color w:val="000000"/>
          <w:sz w:val="22"/>
        </w:rPr>
        <w:t xml:space="preserve">(84A)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Agendas, minutes, and materials presented to the board are available from the Public Records Custodian, Iowa Workforce Development, 1000 East Grand Avenue, Des Moines, Iowa 50319, except those records concerning closed sessions which are exempt from disclosure under Iowa Code subsection </w:t>
      </w:r>
      <w:hyperlink r:id="rId9">
        <w:r>
          <w:rPr>
            <w:rStyle w:val="Hyperlink"/>
            <w:rFonts w:ascii="Times New Roman" w:hAnsi="Times New Roman"/>
            <w:b w:val="false"/>
            <w:i w:val="false"/>
            <w:color w:val="000000"/>
            <w:sz w:val="22"/>
          </w:rPr>
          <w:t>21.5(5)</w:t>
        </w:r>
      </w:hyperlink>
      <w:r>
        <w:rPr>
          <w:rFonts w:ascii="Times New Roman" w:hAnsi="Times New Roman"/>
          <w:b w:val="false"/>
          <w:i w:val="false"/>
          <w:color w:val="000000"/>
          <w:sz w:val="22"/>
        </w:rPr>
        <w:t xml:space="preserve"> or which are otherwise confidential by law. Board records contain information about persons who participate in meetings. This information is collected pursuant to Iowa Code section </w:t>
      </w:r>
      <w:hyperlink r:id="rId10">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xml:space="preserve"> and subsection </w:t>
      </w:r>
      <w:hyperlink r:id="rId11">
        <w:r>
          <w:rPr>
            <w:rStyle w:val="Hyperlink"/>
            <w:rFonts w:ascii="Times New Roman" w:hAnsi="Times New Roman"/>
            <w:b w:val="false"/>
            <w:i w:val="false"/>
            <w:color w:val="000000"/>
            <w:sz w:val="22"/>
          </w:rPr>
          <w:t>96.11(6)</w:t>
        </w:r>
      </w:hyperlink>
      <w:r>
        <w:rPr>
          <w:rFonts w:ascii="Times New Roman" w:hAnsi="Times New Roman"/>
          <w:b w:val="false"/>
          <w:i w:val="false"/>
          <w:color w:val="000000"/>
          <w:sz w:val="22"/>
        </w:rPr>
        <w:t xml:space="preserve">. These records are not stored in an automated data processing system and may not be retrieved by a personal identifier.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3610C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877—1.5</w:t>
      </w:r>
      <w:r>
        <w:rPr>
          <w:rFonts w:ascii="Times New Roman" w:hAnsi="Times New Roman"/>
          <w:b/>
          <w:i w:val="false"/>
          <w:color w:val="000000"/>
          <w:sz w:val="22"/>
        </w:rPr>
        <w:t xml:space="preserve">(84A) </w:t>
      </w:r>
      <w:r>
        <w:rPr>
          <w:rFonts w:ascii="Times New Roman" w:hAnsi="Times New Roman"/>
          <w:b/>
          <w:i w:val="false"/>
          <w:color w:val="000000"/>
          <w:sz w:val="22"/>
        </w:rPr>
        <w:t xml:space="preserve">Coordination with the department of corrections on private sector employment projects. </w:t>
      </w:r>
      <w:r>
        <w:rPr>
          <w:rFonts w:ascii="Times New Roman" w:hAnsi="Times New Roman"/>
          <w:b w:val="false"/>
          <w:i w:val="false"/>
          <w:color w:val="000000"/>
          <w:sz w:val="22"/>
        </w:rPr>
        <w:t>To assist the department of corrections with programs that employ offenders in the private sector, the department of workforce development shall be responsible for coordinating the following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val="false"/>
          <w:color w:val="000000"/>
          <w:sz w:val="22"/>
        </w:rPr>
        <w:t>Prior to an employer’s submitting an application to the department of corrections for a private sector employment project, the employer shall place with the nearest workforce development center a job order with a duration of at least 30 days. The job order shall be listed statewide in all centers and on the department of workforce development’s jobs Internet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val="false"/>
          <w:color w:val="000000"/>
          <w:sz w:val="22"/>
        </w:rPr>
        <w:t>The department of corrections shall send a letter requesting verification of the employer’s 30-day job listing, the average wage rate for the job(s) the offenders will perform, the current unemployment rate in the county where the employer is located, and the current employment level of the company that will employ the offenders. The letter should be sent to Division Administrator, Division of Policy and Information, Iowa Workforce Development, 1000 East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val="false"/>
          <w:color w:val="000000"/>
          <w:sz w:val="22"/>
        </w:rPr>
        <w:t>The department of workforce development shall verify in writing the job listing, including the number of qualified applicant referrals and hires made as a result of the job order, the average entry-level wage rate for the proposed job(s), the entry-level wage range, the current unemployment rate for the county where the employer is located, and the current employment levels of the company that will employ the offenders based upon the most recent quarter for which data is available. The average wage rate and wage range will be based on the appropriate geographic area for which occupational wage information is available. The appropriate geographic area may be statewide.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w:t>
      </w:r>
      <w:r>
        <w:rPr>
          <w:rFonts w:ascii="Times New Roman" w:hAnsi="Times New Roman"/>
          <w:b w:val="false"/>
          <w:i w:val="false"/>
          <w:color w:val="000000"/>
          <w:sz w:val="22"/>
        </w:rPr>
        <w:t> </w:t>
      </w:r>
      <w:r>
        <w:rPr>
          <w:rFonts w:ascii="Times New Roman" w:hAnsi="Times New Roman"/>
          <w:b w:val="false"/>
          <w:i w:val="false"/>
          <w:color w:val="000000"/>
          <w:sz w:val="22"/>
        </w:rPr>
        <w:t>Average entry-level wage rates and entry-level wage ranges for jobs currently held by offenders and employment levels of companies employing offenders shall be updated by the department of workforce development every six months upon the department of corrections’ sending a letter listing all current companies employing offenders and the offenders’ job classifications to Division Administrator, Division of Policy and Information, Iowa Workforce Development, 1000 East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w:t>
      </w:r>
      <w:r>
        <w:rPr>
          <w:rFonts w:ascii="Times New Roman" w:hAnsi="Times New Roman"/>
          <w:b w:val="false"/>
          <w:i w:val="false"/>
          <w:color w:val="000000"/>
          <w:sz w:val="22"/>
        </w:rPr>
        <w:t> </w:t>
      </w:r>
      <w:r>
        <w:rPr>
          <w:rFonts w:ascii="Times New Roman" w:hAnsi="Times New Roman"/>
          <w:b w:val="false"/>
          <w:i w:val="false"/>
          <w:color w:val="000000"/>
          <w:sz w:val="22"/>
        </w:rPr>
        <w:t>The department of workforce development shall provide a periodic report to the state workforce development board regarding information supplied to the department of corrections for private sector employment projects. Frequency of the report will depend upon the level of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w:t>
      </w:r>
      <w:r>
        <w:rPr>
          <w:rFonts w:ascii="Times New Roman" w:hAnsi="Times New Roman"/>
          <w:b w:val="false"/>
          <w:i w:val="false"/>
          <w:color w:val="000000"/>
          <w:sz w:val="22"/>
        </w:rPr>
        <w:t> </w:t>
      </w:r>
      <w:r>
        <w:rPr>
          <w:rFonts w:ascii="Times New Roman" w:hAnsi="Times New Roman"/>
          <w:b w:val="false"/>
          <w:i w:val="false"/>
          <w:color w:val="000000"/>
          <w:sz w:val="22"/>
        </w:rPr>
        <w:t>Inquiries concerning private sector employment projects shall be in writing and address the following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and how the project is believed to violate the intent of Iowa Code section </w:t>
      </w:r>
      <w:hyperlink r:id="rId12">
        <w:r>
          <w:rPr>
            <w:rStyle w:val="Hyperlink"/>
            <w:rFonts w:ascii="Times New Roman" w:hAnsi="Times New Roman"/>
            <w:b w:val="false"/>
            <w:i w:val="false"/>
            <w:color w:val="000000"/>
            <w:sz w:val="22"/>
          </w:rPr>
          <w:t>904.809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a local surplus of labor in the job classifications of the type in which offenders are employed;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private sector employees or employees involved in a labor dispute have been displaced as a result of the project.</w:t>
      </w:r>
    </w:p>
    <w:p>
      <w:pPr>
        <w:spacing w:before="0" w:after="0"/>
        <w:ind w:left="120"/>
        <w:jc w:val="both"/>
      </w:pPr>
      <w:r>
        <w:rPr>
          <w:rFonts w:ascii="Times New Roman" w:hAnsi="Times New Roman"/>
          <w:b w:val="false"/>
          <w:i w:val="false"/>
          <w:color w:val="000000"/>
          <w:sz w:val="22"/>
        </w:rPr>
        <w:t>Inquiries shall be sent to Division Administrator, Division of Policy and Information, Iowa Workforce Development, 1000 East Grand Avenue, Des Moines, Iowa 50319. A copy of the inquiry shall be sent to the department of corrections. The director of the department shall consult with the director of prison industries and the affected regional advisory board concerning the inquiry prior to the workforce development board’s making a final recommendation regarding possible corrective action.</w:t>
      </w:r>
    </w:p>
    <w:p>
      <w:pPr>
        <w:spacing w:before="0" w:after="0"/>
        <w:ind w:left="120"/>
        <w:jc w:val="both"/>
      </w:pPr>
      <w:r>
        <w:rPr>
          <w:rFonts w:ascii="Times New Roman" w:hAnsi="Times New Roman"/>
          <w:b w:val="false"/>
          <w:i w:val="false"/>
          <w:color w:val="000000"/>
          <w:sz w:val="22"/>
        </w:rPr>
        <w:t xml:space="preserve">The administrative rules committee of the state workforce development board shall review the inquiry and any additional responses or oral testimony requested by the committee and make a recommendation to the full board as to whether the intent of Iowa Code section </w:t>
      </w:r>
      <w:hyperlink r:id="rId13">
        <w:r>
          <w:rPr>
            <w:rStyle w:val="Hyperlink"/>
            <w:rFonts w:ascii="Times New Roman" w:hAnsi="Times New Roman"/>
            <w:b w:val="false"/>
            <w:i w:val="false"/>
            <w:color w:val="000000"/>
            <w:sz w:val="22"/>
          </w:rPr>
          <w:t>904.809</w:t>
        </w:r>
      </w:hyperlink>
      <w:r>
        <w:rPr>
          <w:rFonts w:ascii="Times New Roman" w:hAnsi="Times New Roman"/>
          <w:b w:val="false"/>
          <w:i w:val="false"/>
          <w:color w:val="000000"/>
          <w:sz w:val="22"/>
        </w:rPr>
        <w:t xml:space="preserve"> has or has not been met and whether corrective action, if any, needs to be taken by the department of corrections to meet the intent. At the discretion of the administrative rules committee, oral presentations may be requested from the party(ies) to the inquiry. The full board shall make a final recommendation within 60 days of receipt of the inquiry. The board’s final recommendation shall be mailed to both the department of corrections and the party(ies) making the inquiry.</w:t>
      </w:r>
    </w:p>
    <w:p>
      <w:pPr>
        <w:spacing w:before="0" w:after="0"/>
        <w:ind w:left="120"/>
        <w:jc w:val="both"/>
      </w:pPr>
      <w:r>
        <w:rPr>
          <w:rFonts w:ascii="Times New Roman" w:hAnsi="Times New Roman"/>
          <w:b/>
          <w:i w:val="false"/>
          <w:color w:val="000000"/>
          <w:sz w:val="22"/>
        </w:rPr>
        <w:t>877—1.6</w:t>
      </w:r>
      <w:r>
        <w:rPr>
          <w:rFonts w:ascii="Times New Roman" w:hAnsi="Times New Roman"/>
          <w:b/>
          <w:i w:val="false"/>
          <w:color w:val="000000"/>
          <w:sz w:val="22"/>
        </w:rPr>
        <w:t xml:space="preserve">(84A) </w:t>
      </w:r>
      <w:r>
        <w:rPr>
          <w:rFonts w:ascii="Times New Roman" w:hAnsi="Times New Roman"/>
          <w:b/>
          <w:i w:val="false"/>
          <w:color w:val="000000"/>
          <w:sz w:val="22"/>
        </w:rPr>
        <w:t xml:space="preserve">Coordination with the department of corrections on construction and maintenance projects. </w:t>
      </w:r>
      <w:r>
        <w:rPr>
          <w:rFonts w:ascii="Times New Roman" w:hAnsi="Times New Roman"/>
          <w:b w:val="false"/>
          <w:i w:val="false"/>
          <w:color w:val="000000"/>
          <w:sz w:val="22"/>
        </w:rPr>
        <w:t>To assist the department of corrections with the employment of offenders on construction and maintenance projects, the department of workforce development shall be responsible for coordinating the following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val="false"/>
          <w:color w:val="000000"/>
          <w:sz w:val="22"/>
        </w:rPr>
        <w:t>Prior to an employer’s submitting an application to the department of corrections for employing offenders on a construction or maintenance project, the employer shall place with the nearest workforce development center a job order with a duration of at least 30 days. The job order shall be listed statewide in all centers and on the department of workforce development’s jobs Internet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val="false"/>
          <w:color w:val="000000"/>
          <w:sz w:val="22"/>
        </w:rPr>
        <w:t>The department of corrections shall send a letter requesting verification of the employer’s 30-day job listing, the average wage rate for the job(s) the offenders will perform, the current unemployment rate in the county where the employer is located, and the current employment level of the company that will employ the offenders. The letter should be sent to Division Administrator, Division of Policy and Information, Iowa Workforce Development, 1000 East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val="false"/>
          <w:color w:val="000000"/>
          <w:sz w:val="22"/>
        </w:rPr>
        <w:t>The department of workforce development shall verify in writing the job listing, including the number of qualified applicant referrals and hires made as a result of the job order, the average entry-level wage rate for the proposed job(s), the entry-level wage range, the prevailing wage as determined by the U.S. Department of Labor, the current unemployment rate for the county where the employer is located, and the current employment levels of the company that will employ the offenders based upon the most recent quarter for which data is available. The average entry-level wage rate and entry-level wage range will be based on the appropriate geographic area for which occupational wage information is available. The appropriate geographic area may be statewide.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w:t>
      </w:r>
      <w:r>
        <w:rPr>
          <w:rFonts w:ascii="Times New Roman" w:hAnsi="Times New Roman"/>
          <w:b w:val="false"/>
          <w:i w:val="false"/>
          <w:color w:val="000000"/>
          <w:sz w:val="22"/>
        </w:rPr>
        <w:t> </w:t>
      </w:r>
      <w:r>
        <w:rPr>
          <w:rFonts w:ascii="Times New Roman" w:hAnsi="Times New Roman"/>
          <w:b w:val="false"/>
          <w:i w:val="false"/>
          <w:color w:val="000000"/>
          <w:sz w:val="22"/>
        </w:rPr>
        <w:t>It is recommended that all offenders employed in construction and maintenance projects receive a ten-hour OSHA safety course provided free of charge by the department of workforce development. The department of workforce development will make every effort to conduct the training within a reasonable time period after receipt of a request for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w:t>
      </w:r>
      <w:r>
        <w:rPr>
          <w:rFonts w:ascii="Times New Roman" w:hAnsi="Times New Roman"/>
          <w:b w:val="false"/>
          <w:i w:val="false"/>
          <w:color w:val="000000"/>
          <w:sz w:val="22"/>
        </w:rPr>
        <w:t> </w:t>
      </w:r>
      <w:r>
        <w:rPr>
          <w:rFonts w:ascii="Times New Roman" w:hAnsi="Times New Roman"/>
          <w:b w:val="false"/>
          <w:i w:val="false"/>
          <w:color w:val="000000"/>
          <w:sz w:val="22"/>
        </w:rPr>
        <w:t>If the contract to employ offender labor exceeds six months, the department of corrections shall request and receive from the department of workforce development the average wage rates and wage ranges for jobs currently held by offenders and current employment levels of companies employing offenders. The letter should be addressed to Division Administrator, Division of Policy and Information, Iowa Workforce Development, 1000 East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w:t>
      </w:r>
      <w:r>
        <w:rPr>
          <w:rFonts w:ascii="Times New Roman" w:hAnsi="Times New Roman"/>
          <w:b w:val="false"/>
          <w:i w:val="false"/>
          <w:color w:val="000000"/>
          <w:sz w:val="22"/>
        </w:rPr>
        <w:t> </w:t>
      </w:r>
      <w:r>
        <w:rPr>
          <w:rFonts w:ascii="Times New Roman" w:hAnsi="Times New Roman"/>
          <w:b w:val="false"/>
          <w:i w:val="false"/>
          <w:color w:val="000000"/>
          <w:sz w:val="22"/>
        </w:rPr>
        <w:t>The department of workforce development shall provide a periodic report to the state workforce development board regarding information supplied to the department of corrections for construction and maintenance projects. Frequency of the report will depend upon the level of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w:t>
      </w:r>
      <w:r>
        <w:rPr>
          <w:rFonts w:ascii="Times New Roman" w:hAnsi="Times New Roman"/>
          <w:b w:val="false"/>
          <w:i w:val="false"/>
          <w:color w:val="000000"/>
          <w:sz w:val="22"/>
        </w:rPr>
        <w:t> </w:t>
      </w:r>
      <w:r>
        <w:rPr>
          <w:rFonts w:ascii="Times New Roman" w:hAnsi="Times New Roman"/>
          <w:b w:val="false"/>
          <w:i w:val="false"/>
          <w:color w:val="000000"/>
          <w:sz w:val="22"/>
        </w:rPr>
        <w:t>Inquiries concerning construction and maintenance projects performed by offenders may be made by area workers, or their representatives, that are affected by a project. Inquiries shall be in writing and address the following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and how the project is believed to violate the intent of Iowa Code sections </w:t>
      </w:r>
      <w:hyperlink r:id="rId14">
        <w:r>
          <w:rPr>
            <w:rStyle w:val="Hyperlink"/>
            <w:rFonts w:ascii="Times New Roman" w:hAnsi="Times New Roman"/>
            <w:b w:val="false"/>
            <w:i w:val="false"/>
            <w:color w:val="000000"/>
            <w:sz w:val="22"/>
          </w:rPr>
          <w:t>904.701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904.703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a local surplus of labor in the job classifications of the type in which offenders are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private sector employees or state, county or local government employees or employees involved in a labor dispute have been displaced as a result of the project;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existing contracts for employment or services have been impaired.</w:t>
      </w:r>
    </w:p>
    <w:p>
      <w:pPr>
        <w:spacing w:before="0" w:after="0"/>
        <w:ind w:left="120"/>
        <w:jc w:val="both"/>
      </w:pPr>
      <w:r>
        <w:rPr>
          <w:rFonts w:ascii="Times New Roman" w:hAnsi="Times New Roman"/>
          <w:b w:val="false"/>
          <w:i w:val="false"/>
          <w:color w:val="000000"/>
          <w:sz w:val="22"/>
        </w:rPr>
        <w:t>Inquiries shall be sent to Division Administrator, Division of Policy and Information, Iowa Workforce Development, 1000 East Grand Avenue, Des Moines, Iowa 50319. A copy of the inquiry shall be sent to the department of corrections. The director of the department shall consult with the director of the department of corrections and the affected regional advisory board concerning the inquiry prior to the workforce development board’s making a final recommendation regarding possible corrective action.</w:t>
      </w:r>
    </w:p>
    <w:p>
      <w:pPr>
        <w:spacing w:before="0" w:after="0"/>
        <w:ind w:left="120"/>
        <w:jc w:val="both"/>
      </w:pPr>
      <w:r>
        <w:rPr>
          <w:rFonts w:ascii="Times New Roman" w:hAnsi="Times New Roman"/>
          <w:b w:val="false"/>
          <w:i w:val="false"/>
          <w:color w:val="000000"/>
          <w:sz w:val="22"/>
        </w:rPr>
        <w:t xml:space="preserve">The administrative rules committee of the state workforce development board shall review the inquiry and any additional responses or oral testimony requested by the committee and make a recommendation to the full board as to whether the intent of Iowa Code sections </w:t>
      </w:r>
      <w:hyperlink r:id="rId16">
        <w:r>
          <w:rPr>
            <w:rStyle w:val="Hyperlink"/>
            <w:rFonts w:ascii="Times New Roman" w:hAnsi="Times New Roman"/>
            <w:b w:val="false"/>
            <w:i w:val="false"/>
            <w:color w:val="000000"/>
            <w:sz w:val="22"/>
          </w:rPr>
          <w:t>904.701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904.703</w:t>
        </w:r>
      </w:hyperlink>
      <w:r>
        <w:rPr>
          <w:rFonts w:ascii="Times New Roman" w:hAnsi="Times New Roman"/>
          <w:b w:val="false"/>
          <w:i w:val="false"/>
          <w:color w:val="000000"/>
          <w:sz w:val="22"/>
        </w:rPr>
        <w:t xml:space="preserve"> has or has not been met and whether corrective action, if any, needs to be taken by the department of corrections to meet the intent. At the discretion of the administrative rules committee, oral presentations may be requested from the party(ies) to the inquiry. The full board shall make a final recommendation within 60 days of receipt of the inquiry. The board’s final recommendation shall be mailed to both the department of corrections and the party(ies) making the inquiry.</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8">
        <w:r>
          <w:rPr>
            <w:rStyle w:val="Hyperlink"/>
            <w:rFonts w:ascii="Times New Roman" w:hAnsi="Times New Roman"/>
            <w:b w:val="false"/>
            <w:i w:val="false"/>
            <w:color w:val="000000"/>
            <w:sz w:val="22"/>
          </w:rPr>
          <w:t>84A.1A</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84A.1B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4/28/97, Notice 2/26/97—published 5/21/97, effective 6/25/97]</w:t>
      </w:r>
    </w:p>
    <w:p>
      <w:pPr>
        <w:spacing w:before="0" w:after="0"/>
        <w:ind w:left="120"/>
        <w:jc w:val="center"/>
      </w:pPr>
      <w:r>
        <w:rPr>
          <w:rFonts w:ascii="Times New Roman" w:hAnsi="Times New Roman"/>
          <w:b w:val="false"/>
          <w:i w:val="false"/>
          <w:color w:val="000000"/>
          <w:sz w:val="21"/>
        </w:rPr>
        <w:t>[Filed 4/21/00, Notice 2/9/00—published 5/17/00, effective 6/21/00]</w:t>
      </w:r>
    </w:p>
    <w:p>
      <w:pPr>
        <w:spacing w:before="0" w:after="0"/>
        <w:ind w:left="120"/>
        <w:jc w:val="center"/>
      </w:pPr>
      <w:r>
        <w:rPr>
          <w:rFonts w:ascii="Times New Roman" w:hAnsi="Times New Roman"/>
          <w:b w:val="false"/>
          <w:i w:val="false"/>
          <w:color w:val="000000"/>
          <w:sz w:val="21"/>
        </w:rPr>
        <w:t>[Filed ARC 3610C</w:t>
      </w:r>
      <w:r>
        <w:rPr>
          <w:rFonts w:ascii="Times New Roman" w:hAnsi="Times New Roman"/>
          <w:b w:val="false"/>
          <w:i w:val="false"/>
          <w:color w:val="000000"/>
          <w:sz w:val="21"/>
        </w:rPr>
        <w:t xml:space="preserve"> (Notice ARC 3480C, IAB 12/6/17)</w:t>
      </w:r>
      <w:r>
        <w:rPr>
          <w:rFonts w:ascii="Times New Roman" w:hAnsi="Times New Roman"/>
          <w:b w:val="false"/>
          <w:i w:val="false"/>
          <w:color w:val="000000"/>
          <w:sz w:val="21"/>
        </w:rPr>
        <w:t>, IAB 1/31/18, effective 3/7/18]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4A.1A.pdf" Type="http://schemas.openxmlformats.org/officeDocument/2006/relationships/hyperlink" Id="rId5"/>
    <Relationship TargetMode="External" Target="https://www.legis.iowa.gov/docs/ico/chapter/84A.1A.pdf" Type="http://schemas.openxmlformats.org/officeDocument/2006/relationships/hyperlink" Id="rId6"/>
    <Relationship TargetMode="External" Target="https://www.legis.iowa.gov/docs/ico/chapter/84A.1.pdf" Type="http://schemas.openxmlformats.org/officeDocument/2006/relationships/hyperlink" Id="rId7"/>
    <Relationship TargetMode="External" Target="https://www.legis.iowa.gov/docs/ico/chapter/84A.1B.pdf" Type="http://schemas.openxmlformats.org/officeDocument/2006/relationships/hyperlink" Id="rId8"/>
    <Relationship TargetMode="External" Target="https://www.legis.iowa.gov/docs/ico/chapter/21.5.pdf" Type="http://schemas.openxmlformats.org/officeDocument/2006/relationships/hyperlink" Id="rId9"/>
    <Relationship TargetMode="External" Target="https://www.legis.iowa.gov/docs/ico/chapter/21.3.pdf" Type="http://schemas.openxmlformats.org/officeDocument/2006/relationships/hyperlink" Id="rId10"/>
    <Relationship TargetMode="External" Target="https://www.legis.iowa.gov/docs/ico/chapter/96.11.pdf" Type="http://schemas.openxmlformats.org/officeDocument/2006/relationships/hyperlink" Id="rId11"/>
    <Relationship TargetMode="External" Target="https://www.legis.iowa.gov/docs/ico/chapter/904.809.pdf" Type="http://schemas.openxmlformats.org/officeDocument/2006/relationships/hyperlink" Id="rId12"/>
    <Relationship TargetMode="External" Target="https://www.legis.iowa.gov/docs/ico/chapter/904.809.pdf" Type="http://schemas.openxmlformats.org/officeDocument/2006/relationships/hyperlink" Id="rId13"/>
    <Relationship TargetMode="External" Target="https://www.legis.iowa.gov/docs/ico/chapter/904.701.pdf" Type="http://schemas.openxmlformats.org/officeDocument/2006/relationships/hyperlink" Id="rId14"/>
    <Relationship TargetMode="External" Target="https://www.legis.iowa.gov/docs/ico/chapter/904.703.pdf" Type="http://schemas.openxmlformats.org/officeDocument/2006/relationships/hyperlink" Id="rId15"/>
    <Relationship TargetMode="External" Target="https://www.legis.iowa.gov/docs/ico/chapter/904.701.pdf" Type="http://schemas.openxmlformats.org/officeDocument/2006/relationships/hyperlink" Id="rId16"/>
    <Relationship TargetMode="External" Target="https://www.legis.iowa.gov/docs/ico/chapter/904.703.pdf" Type="http://schemas.openxmlformats.org/officeDocument/2006/relationships/hyperlink" Id="rId17"/>
    <Relationship TargetMode="External" Target="https://www.legis.iowa.gov/docs/ico/chapter/84A.1A.pdf" Type="http://schemas.openxmlformats.org/officeDocument/2006/relationships/hyperlink" Id="rId18"/>
    <Relationship TargetMode="External" Target="https://www.legis.iowa.gov/docs/ico/chapter/84A.1B.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