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3/12/97 see Employment Services[341] Ch 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left"/>
      </w:pPr>
      <w:r>
        <w:rPr>
          <w:rFonts w:ascii="Times New Roman" w:hAnsi="Times New Roman"/>
          <w:b w:val="false"/>
          <w:i w:val="false"/>
          <w:color w:val="000000"/>
          <w:sz w:val="22"/>
        </w:rPr>
        <w:t xml:space="preserve">The department of workforce development hereby adopts, with the following exceptions and amendments, the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w:t>
      </w:r>
      <w:r>
        <w:rPr>
          <w:rFonts w:ascii="Times New Roman" w:hAnsi="Times New Roman"/>
          <w:b/>
          <w:i w:val="false"/>
          <w:color w:val="000000"/>
          <w:sz w:val="22"/>
        </w:rPr>
        <w:t xml:space="preserve">(22,84A)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corporation, governmental entity, estate, trust, partnership, association, or any other legal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lieu of the words “an individual in a record that identifies the individual and that is contained in a record system”, insert “a person in a record that identifies the person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lieu of the words “an individual, number, symbol, or other unique retriever assigned to an individual”, insert “a person, number, symbol or other unique retriever assigned to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871—42.3</w:t>
      </w:r>
      <w:r>
        <w:rPr>
          <w:rFonts w:ascii="Times New Roman" w:hAnsi="Times New Roman"/>
          <w:b/>
          <w:i w:val="false"/>
          <w:color w:val="000000"/>
          <w:sz w:val="22"/>
        </w:rPr>
        <w:t xml:space="preserve">(22,84A) </w:t>
      </w:r>
      <w:r>
        <w:rPr>
          <w:rFonts w:ascii="Times New Roman" w:hAnsi="Times New Roman"/>
          <w:b/>
          <w:i w:val="false"/>
          <w:color w:val="000000"/>
          <w:sz w:val="22"/>
        </w:rPr>
        <w:t xml:space="preserve">Request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“director”. Also, in lieu of the words “(insert agency name and address)”, insert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insert “8 a.m. to 4:30 p.m. daily, excluding Saturdays, Sundays, and legal holidays”.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In lieu of the words “X.4”, insert “42.4(22,84A)”.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871—42.4</w:t>
      </w:r>
      <w:r>
        <w:rPr>
          <w:rFonts w:ascii="Times New Roman" w:hAnsi="Times New Roman"/>
          <w:b/>
          <w:i w:val="false"/>
          <w:color w:val="000000"/>
          <w:sz w:val="22"/>
        </w:rPr>
        <w:t xml:space="preserve">(22,84A)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In lieu of the words “rule X.3”, insert “rule </w:t>
      </w:r>
      <w:r>
        <w:rPr>
          <w:rFonts w:ascii="Times New Roman" w:hAnsi="Times New Roman"/>
          <w:b w:val="false"/>
          <w:i w:val="false"/>
          <w:color w:val="000000"/>
          <w:sz w:val="22"/>
        </w:rPr>
        <w:t>42.3</w:t>
      </w:r>
      <w:r>
        <w:rPr>
          <w:rFonts w:ascii="Times New Roman" w:hAnsi="Times New Roman"/>
          <w:b w:val="false"/>
          <w:i w:val="false"/>
          <w:color w:val="000000"/>
          <w:sz w:val="22"/>
        </w:rPr>
        <w:t>(22,84A)”.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871—42.6</w:t>
      </w:r>
      <w:r>
        <w:rPr>
          <w:rFonts w:ascii="Times New Roman" w:hAnsi="Times New Roman"/>
          <w:b/>
          <w:i w:val="false"/>
          <w:color w:val="000000"/>
          <w:sz w:val="22"/>
        </w:rPr>
        <w:t xml:space="preserve">(22,84A)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Department of Workforce Development, 1000 East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871—42.7</w:t>
      </w:r>
      <w:r>
        <w:rPr>
          <w:rFonts w:ascii="Times New Roman" w:hAnsi="Times New Roman"/>
          <w:b/>
          <w:i w:val="false"/>
          <w:color w:val="000000"/>
          <w:sz w:val="22"/>
        </w:rPr>
        <w:t xml:space="preserve">(22,84A)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Remove the parentheses around “(and, where applicable, the time period during which the record may be disclosed)”.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871—42.9</w:t>
      </w:r>
      <w:r>
        <w:rPr>
          <w:rFonts w:ascii="Times New Roman" w:hAnsi="Times New Roman"/>
          <w:b/>
          <w:i w:val="false"/>
          <w:color w:val="000000"/>
          <w:sz w:val="22"/>
        </w:rPr>
        <w:t xml:space="preserve">(22,84A)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An open record is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a confidential record may occur without the consent of the subject. Following are instances where disclosure, if lawful, will generally occur without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7">
        <w:r>
          <w:rPr>
            <w:rStyle w:val="Hyperlink"/>
            <w:rFonts w:ascii="Times New Roman" w:hAnsi="Times New Roman"/>
            <w:b w:val="false"/>
            <w:i w:val="false"/>
            <w:color w:val="000000"/>
            <w:sz w:val="22"/>
          </w:rPr>
          <w:t>871—42.10</w:t>
        </w:r>
      </w:hyperlink>
      <w:r>
        <w:rPr>
          <w:rFonts w:ascii="Times New Roman" w:hAnsi="Times New Roman"/>
          <w:b w:val="false"/>
          <w:i w:val="false"/>
          <w:color w:val="000000"/>
          <w:sz w:val="22"/>
        </w:rPr>
        <w:t>(22,84A).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another governmental agency or to an instrumentality of any governmental jurisdiction within or under the control of the United States for a civil or criminal law enforcement activity if the activity is authorized by law, and if an authorized representative of such governmental agency or instrumentality has submitted a written request to the agency specifying the record desired and the law enforcement activity for which the record is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in the course of employee disciplinary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To the citizens’ aide under Iowa Code section </w:t>
      </w:r>
      <w:hyperlink r:id="rId9">
        <w:r>
          <w:rPr>
            <w:rStyle w:val="Hyperlink"/>
            <w:rFonts w:ascii="Times New Roman" w:hAnsi="Times New Roman"/>
            <w:b w:val="false"/>
            <w:i w:val="false"/>
            <w:color w:val="000000"/>
            <w:sz w:val="22"/>
          </w:rPr>
          <w:t>2C.9(3)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871—42.10</w:t>
      </w:r>
      <w:r>
        <w:rPr>
          <w:rFonts w:ascii="Times New Roman" w:hAnsi="Times New Roman"/>
          <w:b/>
          <w:i w:val="false"/>
          <w:color w:val="000000"/>
          <w:sz w:val="22"/>
        </w:rPr>
        <w:t xml:space="preserve">(22,84A)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42.10(1)</w:t>
      </w:r>
      <w:r>
        <w:rPr>
          <w:rFonts w:ascii="Times New Roman" w:hAnsi="Times New Roman"/>
          <w:b w:val="false"/>
          <w:i w:val="false"/>
          <w:color w:val="000000"/>
          <w:sz w:val="22"/>
        </w:rPr>
        <w:t> </w:t>
      </w:r>
      <w:r>
        <w:rPr>
          <w:rFonts w:ascii="Times New Roman" w:hAnsi="Times New Roman"/>
          <w:b w:val="false"/>
          <w:i w:val="false"/>
          <w:color w:val="000000"/>
          <w:sz w:val="22"/>
        </w:rPr>
        <w:t xml:space="preserve"> Defined. “Routine use” means the disclosure of a record without the consent of the subject, for a purpose that is compatible with the purpose for which the record was collected. It includes disclosures required to be made by statute other than the public records law,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to those officers, employees, and agents of the agency who have a need for the record in the performance of their duties. The custodian of the record may upon request of any officer, employee, and agent, or on the custodian’s own initiative, determine what constitutes legitimate need to use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appeals, and licensing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to staff of federal and state entities for audit purposes or for purposes of determining whether the agency is operating a program lawfully.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871—42.11</w:t>
      </w:r>
      <w:r>
        <w:rPr>
          <w:rFonts w:ascii="Times New Roman" w:hAnsi="Times New Roman"/>
          <w:b/>
          <w:i w:val="false"/>
          <w:color w:val="000000"/>
          <w:sz w:val="22"/>
        </w:rPr>
        <w:t xml:space="preserve">(22,84A) </w:t>
      </w:r>
      <w:r>
        <w:rPr>
          <w:rFonts w:ascii="Times New Roman" w:hAnsi="Times New Roman"/>
          <w:b/>
          <w:i w:val="false"/>
          <w:color w:val="000000"/>
          <w:sz w:val="22"/>
        </w:rPr>
        <w:t xml:space="preserve">Release to a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a confidential record about that person as provided in rule </w:t>
      </w:r>
      <w:hyperlink r:id="rId11">
        <w:r>
          <w:rPr>
            <w:rStyle w:val="Hyperlink"/>
            <w:rFonts w:ascii="Times New Roman" w:hAnsi="Times New Roman"/>
            <w:b w:val="false"/>
            <w:i w:val="false"/>
            <w:color w:val="000000"/>
            <w:sz w:val="22"/>
          </w:rPr>
          <w:t>871—42.6</w:t>
        </w:r>
      </w:hyperlink>
      <w:r>
        <w:rPr>
          <w:rFonts w:ascii="Times New Roman" w:hAnsi="Times New Roman"/>
          <w:b w:val="false"/>
          <w:i w:val="false"/>
          <w:color w:val="000000"/>
          <w:sz w:val="22"/>
        </w:rPr>
        <w:t>(22,84A). However, the agency will not release the following records to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when the information is authorized to be held confidential pursuant to Iowa Code section </w:t>
      </w:r>
      <w:hyperlink r:id="rId12">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need not be disclosed to the subject when it is the work product of an attorney or is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officer’s investigative report should be withheld from the subject, except as required by Iowa Code section </w:t>
      </w:r>
      <w:hyperlink r:id="rId13">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871—42.12</w:t>
      </w:r>
      <w:r>
        <w:rPr>
          <w:rFonts w:ascii="Times New Roman" w:hAnsi="Times New Roman"/>
          <w:b/>
          <w:i w:val="false"/>
          <w:color w:val="000000"/>
          <w:sz w:val="22"/>
        </w:rPr>
        <w:t xml:space="preserve">(22,84A)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law or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 market records made available to the agency under an agreement with the United States Department of Labor, Bureau of Labor Statistics, and withheld from public inspection pursuant to 29 Code of Federal Regulations 70 dated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economic development survey records made available to the agency under an agreement with the department of workforce development, and withheld from public inspection pursuant to Iowa Code section </w:t>
      </w:r>
      <w:hyperlink r:id="rId14">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15">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pursuant to Iowa Code sections </w:t>
      </w:r>
      <w:hyperlink r:id="rId1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pursuant to Iowa Code section </w:t>
      </w:r>
      <w:hyperlink r:id="rId1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the agency’s staff manuals, instructions or other statements issued that set forth criteria or guidelines to be used by the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 pursuant to Iowa Code sections </w:t>
      </w:r>
      <w:hyperlink r:id="rId2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Facilitate disregard of requirements imposed by law;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attorney-client communications, or that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122(c), Fed. R. Civ. 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insurance division tax and claim records pursuant to Iowa Code section </w:t>
      </w:r>
      <w:hyperlink r:id="rId28">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unless the records become part of the record in a hearing before an administrative law judge in a contested case pursuant to Iowa Code chapter </w:t>
      </w:r>
      <w:hyperlink r:id="rId2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that are exempt from disclosure under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w:t>
      </w:r>
      <w:hyperlink r:id="rId31">
        <w:r>
          <w:rPr>
            <w:rStyle w:val="Hyperlink"/>
            <w:rFonts w:ascii="Times New Roman" w:hAnsi="Times New Roman"/>
            <w:b w:val="false"/>
            <w:i w:val="false"/>
            <w:color w:val="000000"/>
            <w:sz w:val="22"/>
          </w:rPr>
          <w:t>871—42.4</w:t>
        </w:r>
      </w:hyperlink>
      <w:r>
        <w:rPr>
          <w:rFonts w:ascii="Times New Roman" w:hAnsi="Times New Roman"/>
          <w:b w:val="false"/>
          <w:i w:val="false"/>
          <w:color w:val="000000"/>
          <w:sz w:val="22"/>
        </w:rPr>
        <w:t xml:space="preserve">(22,84A). If the agency initially determines that it will release such records, the agency may, where appropriate, notify interested parties and withhold the records from inspection as provided in subrule </w:t>
      </w:r>
      <w:r>
        <w:rPr>
          <w:rFonts w:ascii="Times New Roman" w:hAnsi="Times New Roman"/>
          <w:b w:val="false"/>
          <w:i w:val="false"/>
          <w:color w:val="000000"/>
          <w:sz w:val="22"/>
        </w:rPr>
        <w:t>42.4(3)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871—42.13</w:t>
      </w:r>
      <w:r>
        <w:rPr>
          <w:rFonts w:ascii="Times New Roman" w:hAnsi="Times New Roman"/>
          <w:b/>
          <w:i w:val="false"/>
          <w:color w:val="000000"/>
          <w:sz w:val="22"/>
        </w:rPr>
        <w:t xml:space="preserve">(22,84A)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32">
        <w:r>
          <w:rPr>
            <w:rStyle w:val="Hyperlink"/>
            <w:rFonts w:ascii="Times New Roman" w:hAnsi="Times New Roman"/>
            <w:b w:val="false"/>
            <w:i w:val="false"/>
            <w:color w:val="000000"/>
            <w:sz w:val="22"/>
          </w:rPr>
          <w:t>871—42.1</w:t>
        </w:r>
      </w:hyperlink>
      <w:r>
        <w:rPr>
          <w:rFonts w:ascii="Times New Roman" w:hAnsi="Times New Roman"/>
          <w:b w:val="false"/>
          <w:i w:val="false"/>
          <w:color w:val="000000"/>
          <w:sz w:val="22"/>
        </w:rPr>
        <w:t>(22,84A).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42.13(1)</w:t>
      </w:r>
      <w:r>
        <w:rPr>
          <w:rFonts w:ascii="Times New Roman" w:hAnsi="Times New Roman"/>
          <w:b w:val="false"/>
          <w:i w:val="false"/>
          <w:color w:val="000000"/>
          <w:sz w:val="22"/>
        </w:rPr>
        <w:t> </w:t>
      </w:r>
      <w:r>
        <w:rPr>
          <w:rFonts w:ascii="Times New Roman" w:hAnsi="Times New Roman"/>
          <w:b w:val="false"/>
          <w:i w:val="false"/>
          <w:color w:val="000000"/>
          <w:sz w:val="22"/>
        </w:rPr>
        <w:t>The record systems maintained by the agency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 market records. </w:t>
      </w:r>
      <w:r>
        <w:rPr>
          <w:rFonts w:ascii="Times New Roman" w:hAnsi="Times New Roman"/>
          <w:b w:val="false"/>
          <w:i w:val="false"/>
          <w:color w:val="000000"/>
          <w:sz w:val="22"/>
        </w:rPr>
        <w:t>These records are collected from employing units under an agreement with the United States Department of Labor, Bureau of Labor Statistics, for the purposes of analyzing and distributing general labor market information including current employment statistics, employment by occupation statistics, local area unemployment statistics, wage and hour statistics, and permanent mass layoff and plant closing statistics.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economic development survey records. </w:t>
      </w:r>
      <w:r>
        <w:rPr>
          <w:rFonts w:ascii="Times New Roman" w:hAnsi="Times New Roman"/>
          <w:b w:val="false"/>
          <w:i w:val="false"/>
          <w:color w:val="000000"/>
          <w:sz w:val="22"/>
        </w:rPr>
        <w:t>These records are collected from employing units and individuals under an agreement with the department of workforce development, for the purposes of providing local economic development groups with statistical information on the number and characteristics of individuals available for employment within a county as well as providing employee wage by occupation and benefit information.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Some of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groups of records routinely available for public inspection. </w:t>
      </w:r>
      <w:r>
        <w:rPr>
          <w:rFonts w:ascii="Times New Roman" w:hAnsi="Times New Roman"/>
          <w:b w:val="false"/>
          <w:i w:val="false"/>
          <w:color w:val="000000"/>
          <w:sz w:val="22"/>
        </w:rPr>
        <w:t xml:space="preserve">This paragraph describes groups of records maintained by the agency other than in a record system as defined in rule </w:t>
      </w:r>
      <w:hyperlink r:id="rId34">
        <w:r>
          <w:rPr>
            <w:rStyle w:val="Hyperlink"/>
            <w:rFonts w:ascii="Times New Roman" w:hAnsi="Times New Roman"/>
            <w:b w:val="false"/>
            <w:i w:val="false"/>
            <w:color w:val="000000"/>
            <w:sz w:val="22"/>
          </w:rPr>
          <w:t>871—42.1</w:t>
        </w:r>
      </w:hyperlink>
      <w:r>
        <w:rPr>
          <w:rFonts w:ascii="Times New Roman" w:hAnsi="Times New Roman"/>
          <w:b w:val="false"/>
          <w:i w:val="false"/>
          <w:color w:val="000000"/>
          <w:sz w:val="22"/>
        </w:rPr>
        <w:t>(22,84A):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persons making written or oral comments on proposed rules. This information is collected pursuant to Iowa Code section </w:t>
      </w:r>
      <w:hyperlink r:id="rId3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records. Agendas, minutes, and materials presented to the department of workforce development coordinating committee are available from the custodian, except those records concerning closed sessions that are exempt from disclosure under Iowa Code section </w:t>
      </w:r>
      <w:hyperlink r:id="rId3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Coordinating committee records contain information about persons who participate in meetings. This information is collected pursuant to Iowa Code sections </w:t>
      </w:r>
      <w:hyperlink r:id="rId3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84A.2(4)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brochures, etc., are available at the administrative office of the agency. These may contain information about persons, including agency staff or members of agency committees. These records are not stored on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labor market information are available from the agency. Statistical reports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paragraph </w:t>
      </w:r>
      <w:r>
        <w:rPr>
          <w:rFonts w:ascii="Times New Roman" w:hAnsi="Times New Roman"/>
          <w:b w:val="false"/>
          <w:i w:val="false"/>
          <w:color w:val="000000"/>
          <w:sz w:val="22"/>
        </w:rPr>
        <w:t>42.12(2)</w:t>
      </w:r>
      <w:r>
        <w:rPr>
          <w:rFonts w:ascii="Times New Roman" w:hAnsi="Times New Roman"/>
          <w:b w:val="false"/>
          <w:i/>
          <w:color w:val="000000"/>
          <w:sz w:val="22"/>
        </w:rPr>
        <w:t>“g.”</w:t>
      </w:r>
      <w:r>
        <w:rPr>
          <w:rFonts w:ascii="Times New Roman" w:hAnsi="Times New Roman"/>
          <w:b w:val="false"/>
          <w:i w:val="false"/>
          <w:color w:val="000000"/>
          <w:sz w:val="22"/>
        </w:rPr>
        <w:t xml:space="preserve"> These records may contain information about a person collected under the authority of Iowa Code section </w:t>
      </w:r>
      <w:hyperlink r:id="rId39">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the administrative office of the agency. Subscriptions to all or part of the employees’ manual are available at the cost of production and handling. Requests for subscription information should be addressed to the custodian of the record, Department of Workforce Development, 1000 East Grand Avenue, Des Moines, Iowa 50319. Policy manuals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42.13(2)</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871—42.14</w:t>
      </w:r>
      <w:r>
        <w:rPr>
          <w:rFonts w:ascii="Times New Roman" w:hAnsi="Times New Roman"/>
          <w:b/>
          <w:i w:val="false"/>
          <w:color w:val="000000"/>
          <w:sz w:val="22"/>
        </w:rPr>
        <w:t xml:space="preserve">(22,84A)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that contain information about persons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that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are governed by applicable legal and constitutional principles, statutes,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10/28/88, Notice 8/24/88—published 11/16/88, effective 12/21/88]</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ARC 8690C</w:t>
      </w:r>
      <w:r>
        <w:rPr>
          <w:rFonts w:ascii="Times New Roman" w:hAnsi="Times New Roman"/>
          <w:b w:val="false"/>
          <w:i w:val="false"/>
          <w:color w:val="000000"/>
          <w:sz w:val="21"/>
        </w:rPr>
        <w:t xml:space="preserve"> (Notice ARC 8310C,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871.42.10.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s://www.legis.iowa.gov/docs/ico/chapter/2C.9.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ac/rule/871.42.6.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96.11.pdf" Type="http://schemas.openxmlformats.org/officeDocument/2006/relationships/hyperlink" Id="rId14"/>
    <Relationship TargetMode="External" Target="https://www.legis.iowa.gov/docs/ico/chapter/72.3.pdf" Type="http://schemas.openxmlformats.org/officeDocument/2006/relationships/hyperlink" Id="rId15"/>
    <Relationship TargetMode="External" Target="https://www.legis.iowa.gov/docs/ico/chapter/422.20.pdf" Type="http://schemas.openxmlformats.org/officeDocument/2006/relationships/hyperlink" Id="rId16"/>
    <Relationship TargetMode="External" Target="https://www.legis.iowa.gov/docs/ico/chapter/422.7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96.11.pdf" Type="http://schemas.openxmlformats.org/officeDocument/2006/relationships/hyperlink" Id="rId28"/>
    <Relationship TargetMode="External" Target="https://www.legis.iowa.gov/docs/ico/chapter/96.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ac/rule/871.42.4.pdf" Type="http://schemas.openxmlformats.org/officeDocument/2006/relationships/hyperlink" Id="rId31"/>
    <Relationship TargetMode="External" Target="https://www.legis.iowa.gov/docs/iac/rule/871.42.1.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871.42.1.pdf" Type="http://schemas.openxmlformats.org/officeDocument/2006/relationships/hyperlink" Id="rId34"/>
    <Relationship TargetMode="External" Target="https://www.legis.iowa.gov/docs/ico/chapter/17A.4.pdf" Type="http://schemas.openxmlformats.org/officeDocument/2006/relationships/hyperlink" Id="rId35"/>
    <Relationship TargetMode="External" Target="https://www.legis.iowa.gov/docs/ico/chapter/21.5.pdf" Type="http://schemas.openxmlformats.org/officeDocument/2006/relationships/hyperlink" Id="rId36"/>
    <Relationship TargetMode="External" Target="https://www.legis.iowa.gov/docs/ico/chapter/21.3.pdf" Type="http://schemas.openxmlformats.org/officeDocument/2006/relationships/hyperlink" Id="rId37"/>
    <Relationship TargetMode="External" Target="https://www.legis.iowa.gov/docs/ico/chapter/84A.2.pdf" Type="http://schemas.openxmlformats.org/officeDocument/2006/relationships/hyperlink" Id="rId38"/>
    <Relationship TargetMode="External" Target="https://www.legis.iowa.gov/docs/ico/chapter/84A.1.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22.11.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