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REQUEST FOR WAIVER OF ADMINISTRATIVE RULE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1/29/30</w:t>
      </w:r>
    </w:p>
    <w:p>
      <w:pPr>
        <w:spacing w:before="0" w:after="0"/>
        <w:ind w:left="120"/>
        <w:jc w:val="both"/>
      </w:pPr>
      <w:r>
        <w:rPr>
          <w:rFonts w:ascii="Times New Roman" w:hAnsi="Times New Roman"/>
          <w:b/>
          <w:i w:val="false"/>
          <w:color w:val="000000"/>
          <w:sz w:val="22"/>
        </w:rPr>
        <w:t>871—41.1</w:t>
      </w:r>
      <w:r>
        <w:rPr>
          <w:rFonts w:ascii="Times New Roman" w:hAnsi="Times New Roman"/>
          <w:b/>
          <w:i w:val="false"/>
          <w:color w:val="000000"/>
          <w:sz w:val="22"/>
        </w:rPr>
        <w:t xml:space="preserve">(17A) </w:t>
      </w:r>
      <w:r>
        <w:rPr>
          <w:rFonts w:ascii="Times New Roman" w:hAnsi="Times New Roman"/>
          <w:b/>
          <w:i w:val="false"/>
          <w:color w:val="000000"/>
          <w:sz w:val="22"/>
        </w:rPr>
        <w:t xml:space="preserve">Requests for waiver of rules. </w:t>
      </w:r>
      <w:r>
        <w:rPr>
          <w:rFonts w:ascii="Times New Roman" w:hAnsi="Times New Roman"/>
          <w:b w:val="false"/>
          <w:i w:val="false"/>
          <w:color w:val="000000"/>
          <w:sz w:val="22"/>
        </w:rPr>
        <w:t>Any person may file a request for waiver of an administrative rule of the workforce development department[871] by writing a proper request, which is received by the Division Administrator, Division of Unemployment Insurance Services, 1000 East Grand Avenue, Des Moines, Iowa 50319. All requests for waiver of an administrative rule should be in writing and meet all requirements set out in this chapter. A request is deemed filed when it is received by the division administrator. The agency should provide the requester with a file-stamped copy of the request if the requester provides the agency an extra copy for this purpose. The request should be emailed, typewritten or legibly handwritten in ink and must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22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IOWA WORKFORCE DEVELOPMENT</w:t>
            </w:r>
          </w:p>
        </w:tc>
      </w:tr>
      <w:tr>
        <w:trPr>
          <w:trHeight w:val="93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(Name of person requesting</w:t>
            </w:r>
          </w:p>
          <w:p>
            <w:pPr>
              <w:spacing w:before="0" w:after="0"/>
              <w:ind w:left="160"/>
              <w:jc w:val="left"/>
            </w:pPr>
            <w:r>
              <w:rPr>
                <w:rFonts w:ascii="Times New Roman" w:hAnsi="Times New Roman"/>
                <w:b w:val="false"/>
                <w:i w:val="false"/>
                <w:color w:val="000000"/>
                <w:sz w:val="16"/>
              </w:rPr>
              <w:t>waiver)</w:t>
            </w:r>
          </w:p>
        </w:tc>
        <w:tc>
          <w:tcPr>
            <w:tcW w:w="1490" w:type="dxa"/>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72"/>
              </w:rPr>
              <w:t>}</w:t>
            </w:r>
          </w:p>
          <w:p>
            <w:pPr>
              <w:spacing w:before="0" w:after="0"/>
              <w:ind w:left="160"/>
              <w:jc w:val="center"/>
            </w:pPr>
            <w:r>
              <w:rPr>
                <w:rFonts w:ascii="Times New Roman" w:hAnsi="Times New Roman"/>
                <w:b w:val="false"/>
                <w:i w:val="false"/>
                <w:color w:val="000000"/>
                <w:sz w:val="72"/>
              </w:rPr>
              <w:t> </w:t>
            </w:r>
          </w:p>
        </w:tc>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6"/>
              </w:rPr>
              <w:t>Request for waiver of</w:t>
            </w:r>
          </w:p>
          <w:p>
            <w:pPr>
              <w:spacing w:before="0" w:after="0"/>
              <w:ind w:left="160"/>
              <w:jc w:val="left"/>
            </w:pPr>
            <w:r>
              <w:rPr>
                <w:rFonts w:ascii="Times New Roman" w:hAnsi="Times New Roman"/>
                <w:b w:val="false"/>
                <w:i w:val="false"/>
                <w:color w:val="000000"/>
                <w:sz w:val="16"/>
              </w:rPr>
              <w:t>(specify rule for which waiver</w:t>
            </w:r>
          </w:p>
          <w:p>
            <w:pPr>
              <w:spacing w:before="0" w:after="0"/>
              <w:ind w:left="160"/>
              <w:jc w:val="left"/>
            </w:pPr>
            <w:r>
              <w:rPr>
                <w:rFonts w:ascii="Times New Roman" w:hAnsi="Times New Roman"/>
                <w:b w:val="false"/>
                <w:i w:val="false"/>
                <w:color w:val="000000"/>
                <w:sz w:val="16"/>
              </w:rPr>
              <w:t>is requested)</w:t>
            </w:r>
          </w:p>
        </w:tc>
      </w:tr>
    </w:tbl>
    <w:p>
      <w:pPr>
        <w:spacing w:before="0" w:after="0"/>
        <w:ind w:left="120"/>
        <w:jc w:val="both"/>
      </w:pPr>
      <w:r>
        <w:rPr>
          <w:rFonts w:ascii="Times New Roman" w:hAnsi="Times New Roman"/>
          <w:b w:val="false"/>
          <w:i w:val="false"/>
          <w:color w:val="000000"/>
          <w:sz w:val="22"/>
        </w:rPr>
        <w:t>The petition should provide the following information: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and address of the person or entity for whom a waiver is requested.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for which a waiver is requested.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The specific waiver requested, including the precise scope and time period that the waiver will extend.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Relevant facts that the requester believes would justify a waiver. This statement should include a signed statement from the petitioner attesting to the accuracy of the facts.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the agency’s action relative to the requester. </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Any information regarding the agency’s treatment of similar cases, if known.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person inside or outside state government who would be adversely affected by the grant of the request, or who otherwise possesses knowledge of the matter with respect to the waiver request. </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Signed release of information authorizing persons with knowledge regarding requests to furnish the agency with information pertaining to the waiver, if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8689C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871—41.2</w:t>
      </w:r>
      <w:r>
        <w:rPr>
          <w:rFonts w:ascii="Times New Roman" w:hAnsi="Times New Roman"/>
          <w:b/>
          <w:i w:val="false"/>
          <w:color w:val="000000"/>
          <w:sz w:val="22"/>
        </w:rPr>
        <w:t xml:space="preserve">(17A) </w:t>
      </w:r>
      <w:r>
        <w:rPr>
          <w:rFonts w:ascii="Times New Roman" w:hAnsi="Times New Roman"/>
          <w:b/>
          <w:i w:val="false"/>
          <w:color w:val="000000"/>
          <w:sz w:val="22"/>
        </w:rPr>
        <w:t xml:space="preserve">Procedural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41.2(1)</w:t>
      </w:r>
      <w:r>
        <w:rPr>
          <w:rFonts w:ascii="Times New Roman" w:hAnsi="Times New Roman"/>
          <w:b w:val="false"/>
          <w:i w:val="false"/>
          <w:color w:val="000000"/>
          <w:sz w:val="22"/>
        </w:rPr>
        <w:t> </w:t>
      </w:r>
      <w:r>
        <w:rPr>
          <w:rFonts w:ascii="Times New Roman" w:hAnsi="Times New Roman"/>
          <w:b w:val="false"/>
          <w:i w:val="false"/>
          <w:color w:val="000000"/>
          <w:sz w:val="22"/>
        </w:rPr>
        <w:t>The department should acknowledge a request upon receipt.  Within 30 days after receipt of a request for waiver of an administrative rule, the agency verifies that the requester has provided a copy to anyone who is required to receive one by provision of law. The agency may also require the requester to send a copy of the request to other persons who would have an interest in the subject matter.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41.2(2)</w:t>
      </w:r>
      <w:r>
        <w:rPr>
          <w:rFonts w:ascii="Times New Roman" w:hAnsi="Times New Roman"/>
          <w:b w:val="false"/>
          <w:i w:val="false"/>
          <w:color w:val="000000"/>
          <w:sz w:val="22"/>
        </w:rPr>
        <w:t> </w:t>
      </w:r>
      <w:r>
        <w:rPr>
          <w:rFonts w:ascii="Times New Roman" w:hAnsi="Times New Roman"/>
          <w:b w:val="false"/>
          <w:i w:val="false"/>
          <w:color w:val="000000"/>
          <w:sz w:val="22"/>
        </w:rPr>
        <w:t>The agency grants or denies a request for waiver of all or a portion of a rule as soon as practical.  This will be done within 120 days of its receipt, unless requester agrees to a later date. However, if a waiver request has been filed in a contested case proceeding, the agency shall grant or deny the request no later than the time at which the final decision in that contested case is issued. Failure of the agency to grant or deny such a request within the required time period is a denial of that request by the agency. If the request for waiver relates to a time requirement of an administrative rule, the request must be received before the time specified in the rule has expired. Within seven days of its issuance, any response issued under this rule shall be transmitted, normally by depositing it in the mail, to the requester or the person to whom the response pertains and to any other person entitled to such notice by any provision of law.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8689C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871—41.3</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val="false"/>
          <w:color w:val="000000"/>
          <w:sz w:val="22"/>
        </w:rPr>
        <w:t>The director of the workforce development department decides whether circumstances justify the granting of a waiver, given relevant facts. The requester assumes the burden of persuasion involving a request for waiver of an administrative rule. The requester must provide clear and convincing evidence that compliance with the rule will create an undue hardship on the person for whom the waiver is requested; the waiver of the rule on the basis of the particular circumstances relevant to that specified person would be consistent with public interest; substantially equal protection of public health, safety, and welfare will be afforded by a means other than that prescribed in the particular rule for which the waiver is requested; and the waiver of the rule in the specific case would not prejudice the substantial legal rights of any person.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val="false"/>
          <w:color w:val="000000"/>
          <w:sz w:val="22"/>
        </w:rPr>
        <w:t xml:space="preserve"> The agency will deny a request for waiver of an administrative rule if the request waives any statute in whole or part. The agency should deny any request if it does not comply with the provisions of this rule. The agency may grant waiver of a rule if it finds that application of all or a portion of the rule to the circumstances of the specified person would not, to any extent, advance or serve any purposes of the rule. The agency will deny a request unless there are exceptional circumstances justifying an exception to the general application of the rule in otherwise similar circumstances. A waiver will be denied if the material facts presented in the request are not true or material facts have been withheld. The agency may request additional information from the requesting party relative to the application and surrounding circumstances.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8689C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871—41.4</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inspection. </w:t>
      </w:r>
      <w:r>
        <w:rPr>
          <w:rFonts w:ascii="Times New Roman" w:hAnsi="Times New Roman"/>
          <w:b w:val="false"/>
          <w:i w:val="false"/>
          <w:color w:val="000000"/>
          <w:sz w:val="22"/>
        </w:rPr>
        <w:t xml:space="preserve">All waiver requests and responses shall be indexed by administrative rule number and available to members of the public for inspection at Workforce Development Department, 1000 East Grand Avenue, Des Moines, Iowa. Identifying information concerning individuals as unemployment benefit claimants and taxpayers and other identifying information may be withheld by the agency in order to protect the confidentiality of parties as required by Iowa Code chapter </w:t>
      </w:r>
      <w:hyperlink r:id="rId5">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8689C</w:t>
      </w:r>
      <w:r>
        <w:rPr>
          <w:rFonts w:ascii="Times New Roman" w:hAnsi="Times New Roman"/>
          <w:b w:val="false"/>
          <w:i w:val="false"/>
          <w:color w:val="000000"/>
          <w:sz w:val="16"/>
        </w:rPr>
        <w:t>, IAB 12/25/24, effective 1/29/25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7/24/00, Notice 1/26/00—published 8/23/00, effective 9/27/00]</w:t>
      </w:r>
    </w:p>
    <w:p>
      <w:pPr>
        <w:spacing w:before="0" w:after="0"/>
        <w:ind w:left="120"/>
        <w:jc w:val="center"/>
      </w:pPr>
      <w:r>
        <w:rPr>
          <w:rFonts w:ascii="Times New Roman" w:hAnsi="Times New Roman"/>
          <w:b w:val="false"/>
          <w:i w:val="false"/>
          <w:color w:val="000000"/>
          <w:sz w:val="21"/>
        </w:rPr>
        <w:t>[Filed ARC 8689C</w:t>
      </w:r>
      <w:r>
        <w:rPr>
          <w:rFonts w:ascii="Times New Roman" w:hAnsi="Times New Roman"/>
          <w:b w:val="false"/>
          <w:i w:val="false"/>
          <w:color w:val="000000"/>
          <w:sz w:val="21"/>
        </w:rPr>
        <w:t xml:space="preserve"> (Notice ARC 8309C, IAB 10/30/24)</w:t>
      </w:r>
      <w:r>
        <w:rPr>
          <w:rFonts w:ascii="Times New Roman" w:hAnsi="Times New Roman"/>
          <w:b w:val="false"/>
          <w:i w:val="false"/>
          <w:color w:val="000000"/>
          <w:sz w:val="21"/>
        </w:rPr>
        <w:t>, IAB 12/25/24, effective 1/29/25]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pdf" Type="http://schemas.openxmlformats.org/officeDocument/2006/relationships/hyperlink" Id="rId5"/>
    <Relationship TargetMode="External" Target="https://www.legis.iowa.gov/docs/ico/chapter/17A.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