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23</w:t>
      </w:r>
    </w:p>
    <w:p>
      <w:pPr>
        <w:spacing w:before="0" w:after="0"/>
        <w:ind w:left="120"/>
        <w:jc w:val="center"/>
      </w:pPr>
      <w:r>
        <w:rPr>
          <w:rFonts w:ascii="Times New Roman" w:hAnsi="Times New Roman"/>
          <w:b w:val="false"/>
          <w:i w:val="false"/>
          <w:color w:val="000000"/>
          <w:sz w:val="21"/>
        </w:rPr>
        <w:t>EMPLOYER’S CONTRIBUTION AND CHARGES</w:t>
      </w:r>
    </w:p>
    <w:p>
      <w:pPr>
        <w:spacing w:before="0" w:after="0"/>
        <w:ind w:left="120"/>
        <w:jc w:val="center"/>
      </w:pPr>
      <w:r>
        <w:rPr>
          <w:rFonts w:ascii="Times New Roman" w:hAnsi="Times New Roman"/>
          <w:b w:val="false"/>
          <w:i w:val="false"/>
          <w:color w:val="000000"/>
          <w:sz w:val="14"/>
        </w:rPr>
        <w:t>[Prior to 9/24/86, Employment Security[370]]</w:t>
      </w:r>
    </w:p>
    <w:p>
      <w:pPr>
        <w:spacing w:before="0" w:after="0"/>
        <w:ind w:left="120"/>
        <w:jc w:val="center"/>
      </w:pPr>
      <w:r>
        <w:rPr>
          <w:rFonts w:ascii="Times New Roman" w:hAnsi="Times New Roman"/>
          <w:b w:val="false"/>
          <w:i w:val="false"/>
          <w:color w:val="000000"/>
          <w:sz w:val="14"/>
        </w:rPr>
        <w:t>[Prior to 3/12/97, Job Service Division [345] Ch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871—23.1</w:t>
      </w:r>
      <w:r>
        <w:rPr>
          <w:rFonts w:ascii="Times New Roman" w:hAnsi="Times New Roman"/>
          <w:b/>
          <w:i w:val="false"/>
          <w:color w:val="000000"/>
          <w:sz w:val="22"/>
        </w:rPr>
        <w:t xml:space="preserve">(96)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w:t>
      </w:r>
      <w:r>
        <w:rPr>
          <w:rFonts w:ascii="Times New Roman" w:hAnsi="Times New Roman"/>
          <w:b w:val="false"/>
          <w:i w:val="false"/>
          <w:color w:val="000000"/>
          <w:sz w:val="22"/>
        </w:rPr>
        <w:t> </w:t>
      </w:r>
      <w:r>
        <w:rPr>
          <w:rFonts w:ascii="Times New Roman" w:hAnsi="Times New Roman"/>
          <w:b w:val="false"/>
          <w:i/>
          <w:color w:val="000000"/>
          <w:sz w:val="22"/>
        </w:rPr>
        <w:t xml:space="preserve">Balancing account. </w:t>
      </w:r>
      <w:r>
        <w:rPr>
          <w:rFonts w:ascii="Times New Roman" w:hAnsi="Times New Roman"/>
          <w:b w:val="false"/>
          <w:i w:val="false"/>
          <w:color w:val="000000"/>
          <w:sz w:val="22"/>
        </w:rPr>
        <w:t>An account set up to receive benefit charges that by law are not chargeable to any employer. The purpose of the balancing account is to enable the department to properly account for all benefits paid out.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23.1(2)</w:t>
      </w:r>
      <w:r>
        <w:rPr>
          <w:rFonts w:ascii="Times New Roman" w:hAnsi="Times New Roman"/>
          <w:b w:val="false"/>
          <w:i w:val="false"/>
          <w:color w:val="000000"/>
          <w:sz w:val="22"/>
        </w:rPr>
        <w:t> </w:t>
      </w:r>
      <w:r>
        <w:rPr>
          <w:rFonts w:ascii="Times New Roman" w:hAnsi="Times New Roman"/>
          <w:b w:val="false"/>
          <w:i/>
          <w:color w:val="000000"/>
          <w:sz w:val="22"/>
        </w:rPr>
        <w:t xml:space="preserve">Average annual taxable payroll. </w:t>
      </w:r>
      <w:r>
        <w:rPr>
          <w:rFonts w:ascii="Times New Roman" w:hAnsi="Times New Roman"/>
          <w:b w:val="false"/>
          <w:i w:val="false"/>
          <w:color w:val="000000"/>
          <w:sz w:val="22"/>
        </w:rPr>
        <w:t xml:space="preserve">See Iowa Code section </w:t>
      </w:r>
      <w:hyperlink r:id="rId5">
        <w:r>
          <w:rPr>
            <w:rStyle w:val="Hyperlink"/>
            <w:rFonts w:ascii="Times New Roman" w:hAnsi="Times New Roman"/>
            <w:b w:val="false"/>
            <w:i w:val="false"/>
            <w:color w:val="000000"/>
            <w:sz w:val="22"/>
          </w:rPr>
          <w:t>96.1A(2)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23.1(3)</w:t>
      </w:r>
      <w:r>
        <w:rPr>
          <w:rFonts w:ascii="Times New Roman" w:hAnsi="Times New Roman"/>
          <w:b w:val="false"/>
          <w:i w:val="false"/>
          <w:color w:val="000000"/>
          <w:sz w:val="22"/>
        </w:rPr>
        <w:t> </w:t>
      </w:r>
      <w:r>
        <w:rPr>
          <w:rFonts w:ascii="Times New Roman" w:hAnsi="Times New Roman"/>
          <w:b w:val="false"/>
          <w:i/>
          <w:color w:val="000000"/>
          <w:sz w:val="22"/>
        </w:rPr>
        <w:t xml:space="preserve">Calendar quarter. </w:t>
      </w:r>
      <w:r>
        <w:rPr>
          <w:rFonts w:ascii="Times New Roman" w:hAnsi="Times New Roman"/>
          <w:b w:val="false"/>
          <w:i w:val="false"/>
          <w:color w:val="000000"/>
          <w:sz w:val="22"/>
        </w:rPr>
        <w:t xml:space="preserve">See Iowa Code section </w:t>
      </w:r>
      <w:hyperlink r:id="rId6">
        <w:r>
          <w:rPr>
            <w:rStyle w:val="Hyperlink"/>
            <w:rFonts w:ascii="Times New Roman" w:hAnsi="Times New Roman"/>
            <w:b w:val="false"/>
            <w:i w:val="false"/>
            <w:color w:val="000000"/>
            <w:sz w:val="22"/>
          </w:rPr>
          <w:t>96.1A(6)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23.1(4)</w:t>
      </w:r>
      <w:r>
        <w:rPr>
          <w:rFonts w:ascii="Times New Roman" w:hAnsi="Times New Roman"/>
          <w:b w:val="false"/>
          <w:i w:val="false"/>
          <w:color w:val="000000"/>
          <w:sz w:val="22"/>
        </w:rPr>
        <w:t> </w:t>
      </w:r>
      <w:r>
        <w:rPr>
          <w:rFonts w:ascii="Times New Roman" w:hAnsi="Times New Roman"/>
          <w:b w:val="false"/>
          <w:i/>
          <w:color w:val="000000"/>
          <w:sz w:val="22"/>
        </w:rPr>
        <w:t xml:space="preserve">Computation date. </w:t>
      </w:r>
      <w:r>
        <w:rPr>
          <w:rFonts w:ascii="Times New Roman" w:hAnsi="Times New Roman"/>
          <w:b w:val="false"/>
          <w:i w:val="false"/>
          <w:color w:val="000000"/>
          <w:sz w:val="22"/>
        </w:rPr>
        <w:t>The date as of which employers’ experience with respect to unemployment or unemployment risk is measured for the purpose of determining contribution rates.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23.1(5)</w:t>
      </w:r>
      <w:r>
        <w:rPr>
          <w:rFonts w:ascii="Times New Roman" w:hAnsi="Times New Roman"/>
          <w:b w:val="false"/>
          <w:i w:val="false"/>
          <w:color w:val="000000"/>
          <w:sz w:val="22"/>
        </w:rPr>
        <w:t> </w:t>
      </w:r>
      <w:r>
        <w:rPr>
          <w:rFonts w:ascii="Times New Roman" w:hAnsi="Times New Roman"/>
          <w:b w:val="false"/>
          <w:i/>
          <w:color w:val="000000"/>
          <w:sz w:val="22"/>
        </w:rPr>
        <w:t xml:space="preserve">Employer’s contribution and payroll report. </w:t>
      </w:r>
      <w:r>
        <w:rPr>
          <w:rFonts w:ascii="Times New Roman" w:hAnsi="Times New Roman"/>
          <w:b w:val="false"/>
          <w:i w:val="false"/>
          <w:color w:val="000000"/>
          <w:sz w:val="22"/>
        </w:rPr>
        <w:t>An employer’s quarterly report of the wages paid to individual workers, the total and taxable wages paid and the amount of contributions due to a state unemployment insurance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23.1(6)</w:t>
      </w:r>
      <w:r>
        <w:rPr>
          <w:rFonts w:ascii="Times New Roman" w:hAnsi="Times New Roman"/>
          <w:b w:val="false"/>
          <w:i w:val="false"/>
          <w:color w:val="000000"/>
          <w:sz w:val="22"/>
        </w:rPr>
        <w:t> </w:t>
      </w:r>
      <w:r>
        <w:rPr>
          <w:rFonts w:ascii="Times New Roman" w:hAnsi="Times New Roman"/>
          <w:b w:val="false"/>
          <w:i/>
          <w:color w:val="000000"/>
          <w:sz w:val="22"/>
        </w:rPr>
        <w:t xml:space="preserve">Contributions. </w:t>
      </w:r>
      <w:r>
        <w:rPr>
          <w:rFonts w:ascii="Times New Roman" w:hAnsi="Times New Roman"/>
          <w:b w:val="false"/>
          <w:i w:val="false"/>
          <w:color w:val="000000"/>
          <w:sz w:val="22"/>
        </w:rPr>
        <w:t xml:space="preserve">See Iowa Code section </w:t>
      </w:r>
      <w:hyperlink r:id="rId7">
        <w:r>
          <w:rPr>
            <w:rStyle w:val="Hyperlink"/>
            <w:rFonts w:ascii="Times New Roman" w:hAnsi="Times New Roman"/>
            <w:b w:val="false"/>
            <w:i w:val="false"/>
            <w:color w:val="000000"/>
            <w:sz w:val="22"/>
          </w:rPr>
          <w:t>96.1A(8)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23.1(7)</w:t>
      </w:r>
      <w:r>
        <w:rPr>
          <w:rFonts w:ascii="Times New Roman" w:hAnsi="Times New Roman"/>
          <w:b w:val="false"/>
          <w:i w:val="false"/>
          <w:color w:val="000000"/>
          <w:sz w:val="22"/>
        </w:rPr>
        <w:t> </w:t>
      </w:r>
      <w:r>
        <w:rPr>
          <w:rFonts w:ascii="Times New Roman" w:hAnsi="Times New Roman"/>
          <w:b w:val="false"/>
          <w:i/>
          <w:color w:val="000000"/>
          <w:sz w:val="22"/>
        </w:rPr>
        <w:t xml:space="preserve">Contributor rate. </w:t>
      </w:r>
      <w:r>
        <w:rPr>
          <w:rFonts w:ascii="Times New Roman" w:hAnsi="Times New Roman"/>
          <w:b w:val="false"/>
          <w:i w:val="false"/>
          <w:color w:val="000000"/>
          <w:sz w:val="22"/>
        </w:rPr>
        <w:t>The percent constituting the rate at which the employer’s payroll is taxed.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23.1(8)</w:t>
      </w:r>
      <w:r>
        <w:rPr>
          <w:rFonts w:ascii="Times New Roman" w:hAnsi="Times New Roman"/>
          <w:b w:val="false"/>
          <w:i w:val="false"/>
          <w:color w:val="000000"/>
          <w:sz w:val="22"/>
        </w:rPr>
        <w:t> </w:t>
      </w:r>
      <w:r>
        <w:rPr>
          <w:rFonts w:ascii="Times New Roman" w:hAnsi="Times New Roman"/>
          <w:b w:val="false"/>
          <w:i/>
          <w:color w:val="000000"/>
          <w:sz w:val="22"/>
        </w:rPr>
        <w:t xml:space="preserve">Employer. </w:t>
      </w:r>
      <w:r>
        <w:rPr>
          <w:rFonts w:ascii="Times New Roman" w:hAnsi="Times New Roman"/>
          <w:b w:val="false"/>
          <w:i w:val="false"/>
          <w:color w:val="000000"/>
          <w:sz w:val="22"/>
        </w:rPr>
        <w:t xml:space="preserve">See Iowa Code section </w:t>
      </w:r>
      <w:hyperlink r:id="rId8">
        <w:r>
          <w:rPr>
            <w:rStyle w:val="Hyperlink"/>
            <w:rFonts w:ascii="Times New Roman" w:hAnsi="Times New Roman"/>
            <w:b w:val="false"/>
            <w:i w:val="false"/>
            <w:color w:val="000000"/>
            <w:sz w:val="22"/>
          </w:rPr>
          <w:t>96.1A(14)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23.1(9)</w:t>
      </w:r>
      <w:r>
        <w:rPr>
          <w:rFonts w:ascii="Times New Roman" w:hAnsi="Times New Roman"/>
          <w:b w:val="false"/>
          <w:i w:val="false"/>
          <w:color w:val="000000"/>
          <w:sz w:val="22"/>
        </w:rPr>
        <w:t> </w:t>
      </w:r>
      <w:r>
        <w:rPr>
          <w:rFonts w:ascii="Times New Roman" w:hAnsi="Times New Roman"/>
          <w:b w:val="false"/>
          <w:i/>
          <w:color w:val="000000"/>
          <w:sz w:val="22"/>
        </w:rPr>
        <w:t xml:space="preserve">Experience. </w:t>
      </w:r>
      <w:r>
        <w:rPr>
          <w:rFonts w:ascii="Times New Roman" w:hAnsi="Times New Roman"/>
          <w:b w:val="false"/>
          <w:i w:val="false"/>
          <w:color w:val="000000"/>
          <w:sz w:val="22"/>
        </w:rPr>
        <w:t>An employer’s record with respect to contributions paid, benefits charged, and taxable wages reported.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23.1(10)</w:t>
      </w:r>
      <w:r>
        <w:rPr>
          <w:rFonts w:ascii="Times New Roman" w:hAnsi="Times New Roman"/>
          <w:b w:val="false"/>
          <w:i w:val="false"/>
          <w:color w:val="000000"/>
          <w:sz w:val="22"/>
        </w:rPr>
        <w:t> </w:t>
      </w:r>
      <w:r>
        <w:rPr>
          <w:rFonts w:ascii="Times New Roman" w:hAnsi="Times New Roman"/>
          <w:b w:val="false"/>
          <w:i/>
          <w:color w:val="000000"/>
          <w:sz w:val="22"/>
        </w:rPr>
        <w:t xml:space="preserve">Experience rating. </w:t>
      </w:r>
      <w:r>
        <w:rPr>
          <w:rFonts w:ascii="Times New Roman" w:hAnsi="Times New Roman"/>
          <w:b w:val="false"/>
          <w:i w:val="false"/>
          <w:color w:val="000000"/>
          <w:sz w:val="22"/>
        </w:rPr>
        <w:t>A method for determining the contribution rates of individual employers on the basis of the factors specified in the state employment security law for measuring employers’ experience with respect to unemployment or unemployment risk.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23.1(11)</w:t>
      </w:r>
      <w:r>
        <w:rPr>
          <w:rFonts w:ascii="Times New Roman" w:hAnsi="Times New Roman"/>
          <w:b w:val="false"/>
          <w:i w:val="false"/>
          <w:color w:val="000000"/>
          <w:sz w:val="22"/>
        </w:rPr>
        <w:t> </w:t>
      </w:r>
      <w:r>
        <w:rPr>
          <w:rFonts w:ascii="Times New Roman" w:hAnsi="Times New Roman"/>
          <w:b w:val="false"/>
          <w:i/>
          <w:color w:val="000000"/>
          <w:sz w:val="22"/>
        </w:rPr>
        <w:t xml:space="preserve">Federal unemployment tax. </w:t>
      </w:r>
      <w:r>
        <w:rPr>
          <w:rFonts w:ascii="Times New Roman" w:hAnsi="Times New Roman"/>
          <w:b w:val="false"/>
          <w:i w:val="false"/>
          <w:color w:val="000000"/>
          <w:sz w:val="22"/>
        </w:rPr>
        <w:t>The tax imposed by the Federal Unemployment Tax Act on employers with respect to having individuals in their employ.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23.1(12)</w:t>
      </w:r>
      <w:r>
        <w:rPr>
          <w:rFonts w:ascii="Times New Roman" w:hAnsi="Times New Roman"/>
          <w:b w:val="false"/>
          <w:i w:val="false"/>
          <w:color w:val="000000"/>
          <w:sz w:val="22"/>
        </w:rPr>
        <w:t> </w:t>
      </w:r>
      <w:r>
        <w:rPr>
          <w:rFonts w:ascii="Times New Roman" w:hAnsi="Times New Roman"/>
          <w:b w:val="false"/>
          <w:i/>
          <w:color w:val="000000"/>
          <w:sz w:val="22"/>
        </w:rPr>
        <w:t xml:space="preserve">Federal Unemployment Tax Act. </w:t>
      </w:r>
      <w:r>
        <w:rPr>
          <w:rFonts w:ascii="Times New Roman" w:hAnsi="Times New Roman"/>
          <w:b w:val="false"/>
          <w:i w:val="false"/>
          <w:color w:val="000000"/>
          <w:sz w:val="22"/>
        </w:rPr>
        <w:t>Subchapter C of Chapter 23 of the United States Internal Revenue Code which relates to the federal unemployment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23.1(13)</w:t>
      </w:r>
      <w:r>
        <w:rPr>
          <w:rFonts w:ascii="Times New Roman" w:hAnsi="Times New Roman"/>
          <w:b w:val="false"/>
          <w:i w:val="false"/>
          <w:color w:val="000000"/>
          <w:sz w:val="22"/>
        </w:rPr>
        <w:t> </w:t>
      </w:r>
      <w:r>
        <w:rPr>
          <w:rFonts w:ascii="Times New Roman" w:hAnsi="Times New Roman"/>
          <w:b w:val="false"/>
          <w:i/>
          <w:color w:val="000000"/>
          <w:sz w:val="22"/>
        </w:rPr>
        <w:t xml:space="preserve">Funds.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Administrative funds. </w:t>
      </w:r>
      <w:r>
        <w:rPr>
          <w:rFonts w:ascii="Times New Roman" w:hAnsi="Times New Roman"/>
          <w:b w:val="false"/>
          <w:i w:val="false"/>
          <w:color w:val="000000"/>
          <w:sz w:val="22"/>
        </w:rPr>
        <w:t>Funds made available from federal, state, local and other sources to meet the cost of state workforce development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Contingency fund. </w:t>
      </w:r>
      <w:r>
        <w:rPr>
          <w:rFonts w:ascii="Times New Roman" w:hAnsi="Times New Roman"/>
          <w:b w:val="false"/>
          <w:i w:val="false"/>
          <w:color w:val="000000"/>
          <w:sz w:val="22"/>
        </w:rPr>
        <w:t>An amount of money appropriated by Congress to meet certain unpredictable increases in costs of administration by the state workforce development divisions arising from increases in workload or other specified causes.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Employment security administration fund. </w:t>
      </w:r>
      <w:r>
        <w:rPr>
          <w:rFonts w:ascii="Times New Roman" w:hAnsi="Times New Roman"/>
          <w:b w:val="false"/>
          <w:i w:val="false"/>
          <w:color w:val="000000"/>
          <w:sz w:val="22"/>
        </w:rPr>
        <w:t xml:space="preserve">See Iowa Code section </w:t>
      </w:r>
      <w:hyperlink r:id="rId9">
        <w:r>
          <w:rPr>
            <w:rStyle w:val="Hyperlink"/>
            <w:rFonts w:ascii="Times New Roman" w:hAnsi="Times New Roman"/>
            <w:b w:val="false"/>
            <w:i w:val="false"/>
            <w:color w:val="000000"/>
            <w:sz w:val="22"/>
          </w:rPr>
          <w:t>96.13(1)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Special employment security contingency fund. </w:t>
      </w:r>
      <w:r>
        <w:rPr>
          <w:rFonts w:ascii="Times New Roman" w:hAnsi="Times New Roman"/>
          <w:b w:val="false"/>
          <w:i w:val="false"/>
          <w:color w:val="000000"/>
          <w:sz w:val="22"/>
        </w:rPr>
        <w:t xml:space="preserve">See Iowa Code section </w:t>
      </w:r>
      <w:hyperlink r:id="rId10">
        <w:r>
          <w:rPr>
            <w:rStyle w:val="Hyperlink"/>
            <w:rFonts w:ascii="Times New Roman" w:hAnsi="Times New Roman"/>
            <w:b w:val="false"/>
            <w:i w:val="false"/>
            <w:color w:val="000000"/>
            <w:sz w:val="22"/>
          </w:rPr>
          <w:t>96.13(3)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Temporary emergency surcharge fund. </w:t>
      </w:r>
      <w:r>
        <w:rPr>
          <w:rFonts w:ascii="Times New Roman" w:hAnsi="Times New Roman"/>
          <w:b w:val="false"/>
          <w:i w:val="false"/>
          <w:color w:val="000000"/>
          <w:sz w:val="22"/>
        </w:rPr>
        <w:t xml:space="preserve">See Iowa Code section </w:t>
      </w:r>
      <w:hyperlink r:id="rId11">
        <w:r>
          <w:rPr>
            <w:rStyle w:val="Hyperlink"/>
            <w:rFonts w:ascii="Times New Roman" w:hAnsi="Times New Roman"/>
            <w:b w:val="false"/>
            <w:i w:val="false"/>
            <w:color w:val="000000"/>
            <w:sz w:val="22"/>
          </w:rPr>
          <w:t>96.7(11)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Unemployment compensation fund. </w:t>
      </w:r>
      <w:r>
        <w:rPr>
          <w:rFonts w:ascii="Times New Roman" w:hAnsi="Times New Roman"/>
          <w:b w:val="false"/>
          <w:i w:val="false"/>
          <w:color w:val="000000"/>
          <w:sz w:val="22"/>
        </w:rPr>
        <w:t xml:space="preserve">See Iowa Code section </w:t>
      </w:r>
      <w:hyperlink r:id="rId12">
        <w:r>
          <w:rPr>
            <w:rStyle w:val="Hyperlink"/>
            <w:rFonts w:ascii="Times New Roman" w:hAnsi="Times New Roman"/>
            <w:b w:val="false"/>
            <w:i w:val="false"/>
            <w:color w:val="000000"/>
            <w:sz w:val="22"/>
          </w:rPr>
          <w:t>96.9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Unemployment trust fund. </w:t>
      </w:r>
      <w:r>
        <w:rPr>
          <w:rFonts w:ascii="Times New Roman" w:hAnsi="Times New Roman"/>
          <w:b w:val="false"/>
          <w:i w:val="false"/>
          <w:color w:val="000000"/>
          <w:sz w:val="22"/>
        </w:rPr>
        <w:t xml:space="preserve">See Iowa Code section </w:t>
      </w:r>
      <w:hyperlink r:id="rId13">
        <w:r>
          <w:rPr>
            <w:rStyle w:val="Hyperlink"/>
            <w:rFonts w:ascii="Times New Roman" w:hAnsi="Times New Roman"/>
            <w:b w:val="false"/>
            <w:i w:val="false"/>
            <w:color w:val="000000"/>
            <w:sz w:val="22"/>
          </w:rPr>
          <w:t>96.9(2)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23.1(14)</w:t>
      </w:r>
      <w:r>
        <w:rPr>
          <w:rFonts w:ascii="Times New Roman" w:hAnsi="Times New Roman"/>
          <w:b w:val="false"/>
          <w:i w:val="false"/>
          <w:color w:val="000000"/>
          <w:sz w:val="22"/>
        </w:rPr>
        <w:t> </w:t>
      </w:r>
      <w:r>
        <w:rPr>
          <w:rFonts w:ascii="Times New Roman" w:hAnsi="Times New Roman"/>
          <w:b w:val="false"/>
          <w:i/>
          <w:color w:val="000000"/>
          <w:sz w:val="22"/>
        </w:rPr>
        <w:t xml:space="preserve">Indian tribe. </w:t>
      </w:r>
      <w:r>
        <w:rPr>
          <w:rFonts w:ascii="Times New Roman" w:hAnsi="Times New Roman"/>
          <w:b w:val="false"/>
          <w:i w:val="false"/>
          <w:color w:val="000000"/>
          <w:sz w:val="22"/>
        </w:rPr>
        <w:t xml:space="preserve">See Iowa Code section </w:t>
      </w:r>
      <w:hyperlink r:id="rId14">
        <w:r>
          <w:rPr>
            <w:rStyle w:val="Hyperlink"/>
            <w:rFonts w:ascii="Times New Roman" w:hAnsi="Times New Roman"/>
            <w:b w:val="false"/>
            <w:i w:val="false"/>
            <w:color w:val="000000"/>
            <w:sz w:val="22"/>
          </w:rPr>
          <w:t>96.1A(24)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23.1(15)</w:t>
      </w:r>
      <w:r>
        <w:rPr>
          <w:rFonts w:ascii="Times New Roman" w:hAnsi="Times New Roman"/>
          <w:b w:val="false"/>
          <w:i w:val="false"/>
          <w:color w:val="000000"/>
          <w:sz w:val="22"/>
        </w:rPr>
        <w:t> </w:t>
      </w:r>
      <w:r>
        <w:rPr>
          <w:rFonts w:ascii="Times New Roman" w:hAnsi="Times New Roman"/>
          <w:b w:val="false"/>
          <w:i/>
          <w:color w:val="000000"/>
          <w:sz w:val="22"/>
        </w:rPr>
        <w:t xml:space="preserve">Liability determination. </w:t>
      </w:r>
      <w:r>
        <w:rPr>
          <w:rFonts w:ascii="Times New Roman" w:hAnsi="Times New Roman"/>
          <w:b w:val="false"/>
          <w:i w:val="false"/>
          <w:color w:val="000000"/>
          <w:sz w:val="22"/>
        </w:rPr>
        <w:t xml:space="preserve">See Iowa Code section </w:t>
      </w:r>
      <w:hyperlink r:id="rId15">
        <w:r>
          <w:rPr>
            <w:rStyle w:val="Hyperlink"/>
            <w:rFonts w:ascii="Times New Roman" w:hAnsi="Times New Roman"/>
            <w:b w:val="false"/>
            <w:i w:val="false"/>
            <w:color w:val="000000"/>
            <w:sz w:val="22"/>
          </w:rPr>
          <w:t>96.7(4)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23.1(16)</w:t>
      </w:r>
      <w:r>
        <w:rPr>
          <w:rFonts w:ascii="Times New Roman" w:hAnsi="Times New Roman"/>
          <w:b w:val="false"/>
          <w:i w:val="false"/>
          <w:color w:val="000000"/>
          <w:sz w:val="22"/>
        </w:rPr>
        <w:t> </w:t>
      </w:r>
      <w:r>
        <w:rPr>
          <w:rFonts w:ascii="Times New Roman" w:hAnsi="Times New Roman"/>
          <w:b w:val="false"/>
          <w:i/>
          <w:color w:val="000000"/>
          <w:sz w:val="22"/>
        </w:rPr>
        <w:t xml:space="preserve">Subject employer. </w:t>
      </w:r>
      <w:r>
        <w:rPr>
          <w:rFonts w:ascii="Times New Roman" w:hAnsi="Times New Roman"/>
          <w:b w:val="false"/>
          <w:i w:val="false"/>
          <w:color w:val="000000"/>
          <w:sz w:val="22"/>
        </w:rPr>
        <w:t>An employing unit that is subject to the contribution provisions of a state employment security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23.1(17)</w:t>
      </w:r>
      <w:r>
        <w:rPr>
          <w:rFonts w:ascii="Times New Roman" w:hAnsi="Times New Roman"/>
          <w:b w:val="false"/>
          <w:i w:val="false"/>
          <w:color w:val="000000"/>
          <w:sz w:val="22"/>
        </w:rPr>
        <w:t> </w:t>
      </w:r>
      <w:r>
        <w:rPr>
          <w:rFonts w:ascii="Times New Roman" w:hAnsi="Times New Roman"/>
          <w:b w:val="false"/>
          <w:i/>
          <w:color w:val="000000"/>
          <w:sz w:val="22"/>
        </w:rPr>
        <w:t xml:space="preserve">Quarterly wage report. </w:t>
      </w:r>
      <w:r>
        <w:rPr>
          <w:rFonts w:ascii="Times New Roman" w:hAnsi="Times New Roman"/>
          <w:b w:val="false"/>
          <w:i w:val="false"/>
          <w:color w:val="000000"/>
          <w:sz w:val="22"/>
        </w:rPr>
        <w:t>A report that generates after the employer has electronically submitted its quarterly contribution and payroll.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23.1(18)</w:t>
      </w:r>
      <w:r>
        <w:rPr>
          <w:rFonts w:ascii="Times New Roman" w:hAnsi="Times New Roman"/>
          <w:b w:val="false"/>
          <w:i w:val="false"/>
          <w:color w:val="000000"/>
          <w:sz w:val="22"/>
        </w:rPr>
        <w:t> </w:t>
      </w:r>
      <w:r>
        <w:rPr>
          <w:rFonts w:ascii="Times New Roman" w:hAnsi="Times New Roman"/>
          <w:b w:val="false"/>
          <w:i/>
          <w:color w:val="000000"/>
          <w:sz w:val="22"/>
        </w:rPr>
        <w:t xml:space="preserve">Quarterly wage detail. </w:t>
      </w:r>
      <w:r>
        <w:rPr>
          <w:rFonts w:ascii="Times New Roman" w:hAnsi="Times New Roman"/>
          <w:b w:val="false"/>
          <w:i w:val="false"/>
          <w:color w:val="000000"/>
          <w:sz w:val="22"/>
        </w:rPr>
        <w:t>A report listing workers and their wages by social security number.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
        <w:r>
          <w:rPr>
            <w:rStyle w:val="Hyperlink"/>
            <w:rFonts w:ascii="Times New Roman" w:hAnsi="Times New Roman"/>
            <w:b w:val="false"/>
            <w:i w:val="false"/>
            <w:color w:val="000000"/>
            <w:sz w:val="22"/>
          </w:rPr>
          <w:t>96.7(2)</w:t>
        </w:r>
      </w:hyperlink>
      <w:r>
        <w:rPr>
          <w:rFonts w:ascii="Times New Roman" w:hAnsi="Times New Roman"/>
          <w:b w:val="false"/>
          <w:i/>
          <w:color w:val="000000"/>
          <w:sz w:val="22"/>
        </w:rPr>
        <w:t>“c”</w:t>
      </w:r>
      <w:r>
        <w:rPr>
          <w:rFonts w:ascii="Times New Roman" w:hAnsi="Times New Roman"/>
          <w:b w:val="false"/>
          <w:i w:val="false"/>
          <w:color w:val="000000"/>
          <w:sz w:val="22"/>
        </w:rPr>
        <w:t xml:space="preserve">(3), </w:t>
      </w:r>
      <w:hyperlink r:id="rId17">
        <w:r>
          <w:rPr>
            <w:rStyle w:val="Hyperlink"/>
            <w:rFonts w:ascii="Times New Roman" w:hAnsi="Times New Roman"/>
            <w:b w:val="false"/>
            <w:i w:val="false"/>
            <w:color w:val="000000"/>
            <w:sz w:val="22"/>
          </w:rPr>
          <w:t>96.7(7)</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96.11(1).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871—23.2</w:t>
      </w:r>
      <w:r>
        <w:rPr>
          <w:rFonts w:ascii="Times New Roman" w:hAnsi="Times New Roman"/>
          <w:b/>
          <w:i w:val="false"/>
          <w:color w:val="000000"/>
          <w:sz w:val="22"/>
        </w:rPr>
        <w:t xml:space="preserve">(96) </w:t>
      </w:r>
      <w:r>
        <w:rPr>
          <w:rFonts w:ascii="Times New Roman" w:hAnsi="Times New Roman"/>
          <w:b/>
          <w:i w:val="false"/>
          <w:color w:val="000000"/>
          <w:sz w:val="22"/>
        </w:rPr>
        <w:t xml:space="preserve">Definition of wages for employment during a calendar quarter. </w:t>
      </w:r>
      <w:r>
        <w:rPr>
          <w:rFonts w:ascii="Times New Roman" w:hAnsi="Times New Roman"/>
          <w:b w:val="false"/>
          <w:i w:val="false"/>
          <w:color w:val="000000"/>
          <w:sz w:val="22"/>
        </w:rPr>
        <w:t>Unless the context otherwise requires, terms used in rules, forms, and other official pronouncements issued by the department have the following meaning: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23.2(1)</w:t>
      </w:r>
      <w:r>
        <w:rPr>
          <w:rFonts w:ascii="Times New Roman" w:hAnsi="Times New Roman"/>
          <w:b w:val="false"/>
          <w:i w:val="false"/>
          <w:color w:val="000000"/>
          <w:sz w:val="22"/>
        </w:rPr>
        <w:t> </w:t>
      </w:r>
      <w:r>
        <w:rPr>
          <w:rFonts w:ascii="Times New Roman" w:hAnsi="Times New Roman"/>
          <w:b w:val="false"/>
          <w:i w:val="false"/>
          <w:color w:val="000000"/>
          <w:sz w:val="22"/>
        </w:rPr>
        <w:t>Wages paid are wages paid to an individual during the calendar quarter. Wages earned but not paid during the calendar quarter are considered as wages for employment in the quarter paid. The employer’s contribution and payroll is evidence of when the wages were paid. If the wages are not listed, they shall be considered as paid as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date appearing on the check.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appearing on the notice of direct deposit.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the employee received the cash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date the employee received any other type of payment in lieu of cash.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23.2(2)</w:t>
      </w:r>
      <w:r>
        <w:rPr>
          <w:rFonts w:ascii="Times New Roman" w:hAnsi="Times New Roman"/>
          <w:b w:val="false"/>
          <w:i w:val="false"/>
          <w:color w:val="000000"/>
          <w:sz w:val="22"/>
        </w:rPr>
        <w:t> </w:t>
      </w:r>
      <w:r>
        <w:rPr>
          <w:rFonts w:ascii="Times New Roman" w:hAnsi="Times New Roman"/>
          <w:b w:val="false"/>
          <w:i w:val="false"/>
          <w:color w:val="000000"/>
          <w:sz w:val="22"/>
        </w:rPr>
        <w:t>Wages payable means wages earned and unpaid.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23.2(3)</w:t>
      </w:r>
      <w:r>
        <w:rPr>
          <w:rFonts w:ascii="Times New Roman" w:hAnsi="Times New Roman"/>
          <w:b w:val="false"/>
          <w:i w:val="false"/>
          <w:color w:val="000000"/>
          <w:sz w:val="22"/>
        </w:rPr>
        <w:t> </w:t>
      </w:r>
      <w:r>
        <w:rPr>
          <w:rFonts w:ascii="Times New Roman" w:hAnsi="Times New Roman"/>
          <w:b w:val="false"/>
          <w:i w:val="false"/>
          <w:color w:val="000000"/>
          <w:sz w:val="22"/>
        </w:rPr>
        <w:t>Remuneration paid in goods or services shall be computed on the basis of the fair value of the goods or services at the time of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23.2(4)</w:t>
      </w:r>
      <w:r>
        <w:rPr>
          <w:rFonts w:ascii="Times New Roman" w:hAnsi="Times New Roman"/>
          <w:b w:val="false"/>
          <w:i w:val="false"/>
          <w:color w:val="000000"/>
          <w:sz w:val="22"/>
        </w:rPr>
        <w:t> </w:t>
      </w:r>
      <w:r>
        <w:rPr>
          <w:rFonts w:ascii="Times New Roman" w:hAnsi="Times New Roman"/>
          <w:b w:val="false"/>
          <w:i w:val="false"/>
          <w:color w:val="000000"/>
          <w:sz w:val="22"/>
        </w:rPr>
        <w:t>Cash value of room and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board, rent, housing, lodging, meals, or similar advantage is extended in any medium other than cash as partial or entire remuneration for service constituting employment, the reasonable cash value of same shall be deemed wages subject to contribution.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Where the cash value for such board, rent, housing, lodging, meals, or similar advantage is agreed upon in any contract of hire, the amount so agreed upon shall be deemed the value of such board, rent, housing, lodging, meals or similar advantage. Check stubs, pay envelopes, contracts, and the like, furnished to employees setting forth such cash value, are acceptable evidence as to the amount of the cash value agreed upon in any contract of hire except as provided in paragraphs </w:t>
      </w:r>
      <w:hyperlink r:id="rId18">
        <w:r>
          <w:rPr>
            <w:rStyle w:val="Hyperlink"/>
            <w:rFonts w:ascii="Times New Roman" w:hAnsi="Times New Roman"/>
            <w:b w:val="false"/>
            <w:i w:val="false"/>
            <w:color w:val="000000"/>
            <w:sz w:val="22"/>
          </w:rPr>
          <w:t>23.2(4)</w:t>
        </w:r>
      </w:hyperlink>
      <w:r>
        <w:rPr>
          <w:rFonts w:ascii="Times New Roman" w:hAnsi="Times New Roman"/>
          <w:b w:val="false"/>
          <w:i/>
          <w:color w:val="000000"/>
          <w:sz w:val="22"/>
        </w:rPr>
        <w:t>“d”</w:t>
      </w:r>
      <w:r>
        <w:rPr>
          <w:rFonts w:ascii="Times New Roman" w:hAnsi="Times New Roman"/>
          <w:b w:val="false"/>
          <w:i w:val="false"/>
          <w:color w:val="000000"/>
          <w:sz w:val="22"/>
        </w:rPr>
        <w:t xml:space="preserve"> and </w:t>
      </w:r>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absence of an agreement in a contract of hire, the rate for board, rent, housing, lodging, meals, or similar advantage, furnished in addition to money wages or wholly comprising the wages of an employed individual, shall be deemed to have not less than the following cash value except as provided in paragraph </w:t>
      </w:r>
      <w:hyperlink r:id="rId19">
        <w:r>
          <w:rPr>
            <w:rStyle w:val="Hyperlink"/>
            <w:rFonts w:ascii="Times New Roman" w:hAnsi="Times New Roman"/>
            <w:b w:val="false"/>
            <w:i w:val="false"/>
            <w:color w:val="000000"/>
            <w:sz w:val="22"/>
          </w:rPr>
          <w:t>23.2(4)</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Full board and room per week</w:t>
      </w:r>
      <w:r>
        <w:rPr>
          <w:rFonts w:ascii="Times New Roman" w:hAnsi="Times New Roman"/>
          <w:b w:val="false"/>
          <w:i w:val="false"/>
          <w:color w:val="000000"/>
          <w:sz w:val="22"/>
        </w:rPr>
        <w:t>$300.00</w:t>
      </w:r>
    </w:p>
    <w:p>
      <w:pPr>
        <w:spacing w:before="0" w:after="0"/>
        <w:ind w:left="120"/>
        <w:jc w:val="both"/>
      </w:pPr>
      <w:r>
        <w:rPr>
          <w:rFonts w:ascii="Times New Roman" w:hAnsi="Times New Roman"/>
          <w:b w:val="false"/>
          <w:i w:val="false"/>
          <w:color w:val="000000"/>
          <w:sz w:val="22"/>
        </w:rPr>
        <w:t>Meals (without lodging) per week</w:t>
      </w:r>
      <w:r>
        <w:rPr>
          <w:rFonts w:ascii="Times New Roman" w:hAnsi="Times New Roman"/>
          <w:b w:val="false"/>
          <w:i w:val="false"/>
          <w:color w:val="000000"/>
          <w:sz w:val="22"/>
        </w:rPr>
        <w:t>100.00</w:t>
      </w:r>
    </w:p>
    <w:p>
      <w:pPr>
        <w:spacing w:before="0" w:after="0"/>
        <w:ind w:left="120"/>
        <w:jc w:val="both"/>
      </w:pPr>
      <w:r>
        <w:rPr>
          <w:rFonts w:ascii="Times New Roman" w:hAnsi="Times New Roman"/>
          <w:b w:val="false"/>
          <w:i w:val="false"/>
          <w:color w:val="000000"/>
          <w:sz w:val="22"/>
        </w:rPr>
        <w:t>Meals (without lodging) per day</w:t>
      </w:r>
      <w:r>
        <w:rPr>
          <w:rFonts w:ascii="Times New Roman" w:hAnsi="Times New Roman"/>
          <w:b w:val="false"/>
          <w:i w:val="false"/>
          <w:color w:val="000000"/>
          <w:sz w:val="22"/>
        </w:rPr>
        <w:t>20.20</w:t>
      </w:r>
    </w:p>
    <w:p>
      <w:pPr>
        <w:spacing w:before="0" w:after="0"/>
        <w:ind w:left="120"/>
        <w:jc w:val="both"/>
      </w:pPr>
      <w:r>
        <w:rPr>
          <w:rFonts w:ascii="Times New Roman" w:hAnsi="Times New Roman"/>
          <w:b w:val="false"/>
          <w:i w:val="false"/>
          <w:color w:val="000000"/>
          <w:sz w:val="22"/>
        </w:rPr>
        <w:t>Lodging (without meals) per week</w:t>
      </w:r>
      <w:r>
        <w:rPr>
          <w:rFonts w:ascii="Times New Roman" w:hAnsi="Times New Roman"/>
          <w:b w:val="false"/>
          <w:i w:val="false"/>
          <w:color w:val="000000"/>
          <w:sz w:val="22"/>
        </w:rPr>
        <w:t>198.00</w:t>
      </w:r>
    </w:p>
    <w:p>
      <w:pPr>
        <w:spacing w:before="0" w:after="0"/>
        <w:ind w:left="120"/>
        <w:jc w:val="both"/>
      </w:pPr>
      <w:r>
        <w:rPr>
          <w:rFonts w:ascii="Times New Roman" w:hAnsi="Times New Roman"/>
          <w:b w:val="false"/>
          <w:i w:val="false"/>
          <w:color w:val="000000"/>
          <w:sz w:val="22"/>
        </w:rPr>
        <w:t>Lodging (without meals) per day</w:t>
      </w:r>
      <w:r>
        <w:rPr>
          <w:rFonts w:ascii="Times New Roman" w:hAnsi="Times New Roman"/>
          <w:b w:val="false"/>
          <w:i w:val="false"/>
          <w:color w:val="000000"/>
          <w:sz w:val="22"/>
        </w:rPr>
        <w:t>40.00</w:t>
      </w:r>
    </w:p>
    <w:p>
      <w:pPr>
        <w:spacing w:before="0" w:after="0"/>
        <w:ind w:left="120"/>
        <w:jc w:val="both"/>
      </w:pPr>
      <w:r>
        <w:rPr>
          <w:rFonts w:ascii="Times New Roman" w:hAnsi="Times New Roman"/>
          <w:b w:val="false"/>
          <w:i w:val="false"/>
          <w:color w:val="000000"/>
          <w:sz w:val="22"/>
        </w:rPr>
        <w:t>Individual meals:</w:t>
      </w:r>
    </w:p>
    <w:p>
      <w:pPr>
        <w:spacing w:before="0" w:after="0"/>
        <w:ind w:left="120"/>
        <w:jc w:val="both"/>
      </w:pPr>
      <w:r>
        <w:rPr>
          <w:rFonts w:ascii="Times New Roman" w:hAnsi="Times New Roman"/>
          <w:b w:val="false"/>
          <w:i w:val="false"/>
          <w:color w:val="000000"/>
          <w:sz w:val="22"/>
        </w:rPr>
        <w:t>Breakfast</w:t>
      </w:r>
      <w:r>
        <w:rPr>
          <w:rFonts w:ascii="Times New Roman" w:hAnsi="Times New Roman"/>
          <w:b w:val="false"/>
          <w:i w:val="false"/>
          <w:color w:val="000000"/>
          <w:sz w:val="22"/>
        </w:rPr>
        <w:t>4.50</w:t>
      </w:r>
    </w:p>
    <w:p>
      <w:pPr>
        <w:spacing w:before="0" w:after="0"/>
        <w:ind w:left="120"/>
        <w:jc w:val="both"/>
      </w:pPr>
      <w:r>
        <w:rPr>
          <w:rFonts w:ascii="Times New Roman" w:hAnsi="Times New Roman"/>
          <w:b w:val="false"/>
          <w:i w:val="false"/>
          <w:color w:val="000000"/>
          <w:sz w:val="22"/>
        </w:rPr>
        <w:t>Lunch</w:t>
      </w:r>
      <w:r>
        <w:rPr>
          <w:rFonts w:ascii="Times New Roman" w:hAnsi="Times New Roman"/>
          <w:b w:val="false"/>
          <w:i w:val="false"/>
          <w:color w:val="000000"/>
          <w:sz w:val="22"/>
        </w:rPr>
        <w:t>5.30</w:t>
      </w:r>
    </w:p>
    <w:p>
      <w:pPr>
        <w:spacing w:before="0" w:after="0"/>
        <w:ind w:left="120"/>
        <w:jc w:val="both"/>
      </w:pPr>
      <w:r>
        <w:rPr>
          <w:rFonts w:ascii="Times New Roman" w:hAnsi="Times New Roman"/>
          <w:b w:val="false"/>
          <w:i w:val="false"/>
          <w:color w:val="000000"/>
          <w:sz w:val="22"/>
        </w:rPr>
        <w:t>Dinner</w:t>
      </w:r>
      <w:r>
        <w:rPr>
          <w:rFonts w:ascii="Times New Roman" w:hAnsi="Times New Roman"/>
          <w:b w:val="false"/>
          <w:i w:val="false"/>
          <w:color w:val="000000"/>
          <w:sz w:val="22"/>
        </w:rPr>
        <w:t>10.50</w:t>
      </w:r>
    </w:p>
    <w:p>
      <w:pPr>
        <w:spacing w:before="0" w:after="0"/>
        <w:ind w:left="120"/>
        <w:jc w:val="both"/>
      </w:pPr>
      <w:r>
        <w:rPr>
          <w:rFonts w:ascii="Times New Roman" w:hAnsi="Times New Roman"/>
          <w:b w:val="false"/>
          <w:i w:val="false"/>
          <w:color w:val="000000"/>
          <w:sz w:val="22"/>
        </w:rPr>
        <w:t>A meal not identifiable as breakfast, lunch or dinner</w:t>
      </w:r>
      <w:r>
        <w:rPr>
          <w:rFonts w:ascii="Times New Roman" w:hAnsi="Times New Roman"/>
          <w:b w:val="false"/>
          <w:i w:val="false"/>
          <w:color w:val="000000"/>
          <w:sz w:val="22"/>
        </w:rPr>
        <w:t>4.50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or its authorized representative may, after affording reasonable opportunity at a hearing for the submission of relevant information in writing or in person, determine the reasonable cash value of such board, rent, housing, lodging, meals, or similar advantage in particular instances or group of instances, if it is determined that the values fixed in or arrived at in accordance with paragraph </w:t>
      </w:r>
      <w:hyperlink r:id="rId20">
        <w:r>
          <w:rPr>
            <w:rStyle w:val="Hyperlink"/>
            <w:rFonts w:ascii="Times New Roman" w:hAnsi="Times New Roman"/>
            <w:b w:val="false"/>
            <w:i w:val="false"/>
            <w:color w:val="000000"/>
            <w:sz w:val="22"/>
          </w:rPr>
          <w:t>23.2(4)</w:t>
        </w:r>
      </w:hyperlink>
      <w:r>
        <w:rPr>
          <w:rFonts w:ascii="Times New Roman" w:hAnsi="Times New Roman"/>
          <w:b w:val="false"/>
          <w:i/>
          <w:color w:val="000000"/>
          <w:sz w:val="22"/>
        </w:rPr>
        <w:t>“c,”</w:t>
      </w:r>
      <w:r>
        <w:rPr>
          <w:rFonts w:ascii="Times New Roman" w:hAnsi="Times New Roman"/>
          <w:b w:val="false"/>
          <w:i w:val="false"/>
          <w:color w:val="000000"/>
          <w:sz w:val="22"/>
        </w:rPr>
        <w:t xml:space="preserve"> or in the contract of hire do not properly reflect the reasonable cash value of such remuneration.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determines that the reasonable cash value is other than prescribed in a contract of hire or in paragraph </w:t>
      </w:r>
      <w:hyperlink r:id="rId21">
        <w:r>
          <w:rPr>
            <w:rStyle w:val="Hyperlink"/>
            <w:rFonts w:ascii="Times New Roman" w:hAnsi="Times New Roman"/>
            <w:b w:val="false"/>
            <w:i w:val="false"/>
            <w:color w:val="000000"/>
            <w:sz w:val="22"/>
          </w:rPr>
          <w:t>23.2(4)</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employer’s quarterly payroll and contribution reports to the department shall thereafter show the value of such remuneration as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Notwithstanding the provisions of this paragraph, the cash value of meals that are provided by and for the convenience of the employer on the business premises of the employer shall not be deemed as insured wages under chapter 96 of the Iowa Employment Security Law. Lodging furnished by the employer, for the convenience and on the business premises of the employer, shall not be considered wages if the employee is required to accept the lodging as a condition of employment.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
        <w:r>
          <w:rPr>
            <w:rStyle w:val="Hyperlink"/>
            <w:rFonts w:ascii="Times New Roman" w:hAnsi="Times New Roman"/>
            <w:b w:val="false"/>
            <w:i w:val="false"/>
            <w:color w:val="000000"/>
            <w:sz w:val="22"/>
          </w:rPr>
          <w:t>96.1A(40)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871—23.3</w:t>
      </w:r>
      <w:r>
        <w:rPr>
          <w:rFonts w:ascii="Times New Roman" w:hAnsi="Times New Roman"/>
          <w:b/>
          <w:i w:val="false"/>
          <w:color w:val="000000"/>
          <w:sz w:val="22"/>
        </w:rPr>
        <w:t xml:space="preserve">(96) </w:t>
      </w:r>
      <w:r>
        <w:rPr>
          <w:rFonts w:ascii="Times New Roman" w:hAnsi="Times New Roman"/>
          <w:b/>
          <w:i w:val="false"/>
          <w:color w:val="000000"/>
          <w:sz w:val="22"/>
        </w:rPr>
        <w:t xml:space="preserve">Wages.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23.3(1)</w:t>
      </w:r>
      <w:r>
        <w:rPr>
          <w:rFonts w:ascii="Times New Roman" w:hAnsi="Times New Roman"/>
          <w:b w:val="false"/>
          <w:i w:val="false"/>
          <w:color w:val="000000"/>
          <w:sz w:val="22"/>
        </w:rPr>
        <w:t> </w:t>
      </w:r>
      <w:r>
        <w:rPr>
          <w:rFonts w:ascii="Times New Roman" w:hAnsi="Times New Roman"/>
          <w:b w:val="false"/>
          <w:i w:val="false"/>
          <w:color w:val="000000"/>
          <w:sz w:val="22"/>
        </w:rPr>
        <w:t xml:space="preserve">Wages are as defined in provided in Iowa Code section </w:t>
      </w:r>
      <w:hyperlink r:id="rId23">
        <w:r>
          <w:rPr>
            <w:rStyle w:val="Hyperlink"/>
            <w:rFonts w:ascii="Times New Roman" w:hAnsi="Times New Roman"/>
            <w:b w:val="false"/>
            <w:i w:val="false"/>
            <w:color w:val="000000"/>
            <w:sz w:val="22"/>
          </w:rPr>
          <w:t>96.1A(40)</w:t>
        </w:r>
      </w:hyperlink>
      <w:r>
        <w:rPr>
          <w:rFonts w:ascii="Times New Roman" w:hAnsi="Times New Roman"/>
          <w:b w:val="false"/>
          <w:i w:val="false"/>
          <w:color w:val="000000"/>
          <w:sz w:val="22"/>
        </w:rPr>
        <w:t>, with the additional clarifications.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23.3(2)</w:t>
      </w:r>
      <w:r>
        <w:rPr>
          <w:rFonts w:ascii="Times New Roman" w:hAnsi="Times New Roman"/>
          <w:b w:val="false"/>
          <w:i w:val="false"/>
          <w:color w:val="000000"/>
          <w:sz w:val="22"/>
        </w:rPr>
        <w:t> </w:t>
      </w:r>
      <w:r>
        <w:rPr>
          <w:rFonts w:ascii="Times New Roman" w:hAnsi="Times New Roman"/>
          <w:b w:val="false"/>
          <w:i w:val="false"/>
          <w:color w:val="000000"/>
          <w:sz w:val="22"/>
        </w:rPr>
        <w:t>The term “wages” shall not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amount of payment in addition to the employee’s regular wages paid for the sole purpose of compensating the employee for expenses inherent in the performance of services away from the regular base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Amounts paid specifically for travel or other ordinary and necessary expenses incurred or reasonably expected to be incurred in the employer’s business are not wages. Travel and other reimbursed expenses must be identified either by making a separate payment or by specifically indicating the separate amounts if both wages and expense allowances are combined in a single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Cash payments, or the cash value of other remuneration, made voluntarily and without contractual obligation to, or in behalf of, an individual for periods during which such individual is in active service or training as a member of the national guard, or the military or naval forces of the United States, including the organized reserves.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Sick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“Wages” shall not include any amounts paid as sick pay if the payments are made by or on behalf of an employer under a plan or system. The plan or system must provide sick pay for the employees of the employer or a class or classes of the employer’s employees. The plan may include dependents.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the absence of a plan or system providing sick pay, any amounts paid by or on behalf of an employer on account of sickness are not included after the expiration of six calendar months following the last calendar month in which the employee worked for such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amount of any payment by an employing unit for or on behalf of an individual in its employ, under a supplemental unemployment benefit plan established by such employing unit, with approval of the department. Such plan or system must make provision for payment to a trust fund or similar account on behalf of individuals performing services for it. The account must be used to pay supplemental unemployment benefits to such employing unit’s employees over and above any sum to which such employees might be entitled under the provisions of the state employment security law. Such payments to employees are not remuneration for the purposes of reducing or preventing payment of unemployment benefits. Such plan shall contain the following features: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employer pays into a separately established trust fund or similar account an amount per hour (or equivalent) worked by the employees covered by the agreement until the maximum amount called for has been reached. The plan specifically provides for the supplementation of unemployment benefits under the written terms of an agreement, contract, trust arrangement, or other instrument.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These payments made by the employer into the trust fund or similar account are not subject to recovery by the employer before the satisfaction of all liabilities to employees covered by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trust fund or similar account is to be used to pay supplemental unemployment benefits to employees over and above any sum to which they might be entitled under the provisions of a state employment security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That the agreement provides that such employee is not entitled to receive any payment from the trust fund or similar account unless the employee is also concurrently eligible for benefits under a state employment security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plan requires that benefits are to be determined according to objective standards. Thus, a plan may provide similarly situated employees with benefits that differ in kind and amount but will not permit such benefits to be determined solely at the discretion of the administrator of the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That the employee has no vested right in any of the moneys paid into the trust fund or similar account except as the employee may qualify for benefits under the terms of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That any payment made to or on behalf of an employee be from and to a trust fund or similar account described in Section 401(a) of the United States Internal Revenue Code Title 26 of 1970, which is exempt from tax under Section 501(a) of said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 employer seeking approval of a supplemental unemployment benefit (SUB) plan should petition the department in the manner provided for petitioning for a declaratory ruling. The employer should include a written copy of its plan in the petition for declaratory ruling.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Remuneration paid to an officer of corporation if such officer is a majority stockholder: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Unless such services are subject to a tax to be paid under any federal law imposing a tax against which credit may be taken for contributions required to be paid into a state unemployment fund;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such services are required to be covered under this chapter as a condition to receiving a full tax credit against the tax imposed by the Federal Unemployment Tax Act (FUTA) (</w:t>
      </w:r>
      <w:r>
        <w:rPr>
          <w:rFonts w:ascii="Times New Roman" w:hAnsi="Times New Roman"/>
          <w:b w:val="false"/>
          <w:i w:val="false"/>
          <w:color w:val="000000"/>
          <w:sz w:val="22"/>
        </w:rPr>
        <w:t>26 U.S.C. 3301</w:t>
      </w:r>
      <w:r>
        <w:rPr>
          <w:rFonts w:ascii="Times New Roman" w:hAnsi="Times New Roman"/>
          <w:b w:val="false"/>
          <w:i w:val="false"/>
          <w:color w:val="000000"/>
          <w:sz w:val="22"/>
        </w:rPr>
        <w:t>-3309).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Remuneration paid by this state or any of its political subdivisions or by an Indian tribe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elected official,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member of a legislative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member of the judiciary of a state or political subdivision,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member of the state national guard or air national guard,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employee serving on a temporary duty basis for fire, storm, snow, earthquake, flood, or similar emergency,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person serving in a nontenured policymaking capacity or advisory capacity pursuant to state law that ordinarily does not require duties of more than eight hours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term “wages” shall not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amount of personal compensation withdrawn by a bona fide sole proprietor from the business or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amount of personal compensation withdrawn by a bona fide partner or partners from their partnership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Remuneration for services that are paid by a limited partnership to a limited partner is reportable. If a limited partner performs the duties of a general partner, remuneration is considered to be exempt.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Payments made by an employer to a deferred compensation plan, established to provide for an employee’s retirement, are not wages subject to contributions unless the payments were deducted from the employee’s pay through a salary reduction agreement. In circumstances where both the employer and the employee contribute to the plan, the employer’s share is not wages unless the employee would receive a cash payment if the employee chose not to participate in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Remuneration paid to members of limited liability companies based on membership interest—see Iowa Code section </w:t>
      </w:r>
      <w:hyperlink r:id="rId24">
        <w:r>
          <w:rPr>
            <w:rStyle w:val="Hyperlink"/>
            <w:rFonts w:ascii="Times New Roman" w:hAnsi="Times New Roman"/>
            <w:b w:val="false"/>
            <w:i w:val="false"/>
            <w:color w:val="000000"/>
            <w:sz w:val="22"/>
          </w:rPr>
          <w:t>96.1A(19)</w:t>
        </w:r>
      </w:hyperlink>
      <w:r>
        <w:rPr>
          <w:rFonts w:ascii="Times New Roman" w:hAnsi="Times New Roman"/>
          <w:b w:val="false"/>
          <w:i/>
          <w:color w:val="000000"/>
          <w:sz w:val="22"/>
        </w:rPr>
        <w:t>“a”</w:t>
      </w:r>
      <w:r>
        <w:rPr>
          <w:rFonts w:ascii="Times New Roman" w:hAnsi="Times New Roman"/>
          <w:b w:val="false"/>
          <w:i w:val="false"/>
          <w:color w:val="000000"/>
          <w:sz w:val="22"/>
        </w:rPr>
        <w:t xml:space="preserve">(9) and </w:t>
      </w:r>
      <w:hyperlink r:id="rId25">
        <w:r>
          <w:rPr>
            <w:rStyle w:val="Hyperlink"/>
            <w:rFonts w:ascii="Times New Roman" w:hAnsi="Times New Roman"/>
            <w:b w:val="false"/>
            <w:i w:val="false"/>
            <w:color w:val="000000"/>
            <w:sz w:val="22"/>
          </w:rPr>
          <w:t>96.1A(40)</w:t>
        </w:r>
      </w:hyperlink>
      <w:r>
        <w:rPr>
          <w:rFonts w:ascii="Times New Roman" w:hAnsi="Times New Roman"/>
          <w:b w:val="false"/>
          <w:i/>
          <w:color w:val="000000"/>
          <w:sz w:val="22"/>
        </w:rPr>
        <w:t>“b”</w:t>
      </w:r>
      <w:r>
        <w:rPr>
          <w:rFonts w:ascii="Times New Roman" w:hAnsi="Times New Roman"/>
          <w:b w:val="false"/>
          <w:i w:val="false"/>
          <w:color w:val="000000"/>
          <w:sz w:val="22"/>
        </w:rPr>
        <w:t xml:space="preserve">(5).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Remuneration paid for services performed by an inmate of a correctional institution. Persons in work release programs are considered inmates, and their wages are not reportable. Remuneration paid to residents of halfway houses is reportable.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23.3(3)</w:t>
      </w:r>
      <w:r>
        <w:rPr>
          <w:rFonts w:ascii="Times New Roman" w:hAnsi="Times New Roman"/>
          <w:b w:val="false"/>
          <w:i w:val="false"/>
          <w:color w:val="000000"/>
          <w:sz w:val="22"/>
        </w:rPr>
        <w:t> </w:t>
      </w:r>
      <w:r>
        <w:rPr>
          <w:rFonts w:ascii="Times New Roman" w:hAnsi="Times New Roman"/>
          <w:b w:val="false"/>
          <w:i w:val="false"/>
          <w:color w:val="000000"/>
          <w:sz w:val="22"/>
        </w:rPr>
        <w:t>The term “wages”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Small business corporation remuneration. </w:t>
      </w:r>
      <w:r>
        <w:rPr>
          <w:rFonts w:ascii="Times New Roman" w:hAnsi="Times New Roman"/>
          <w:b w:val="false"/>
          <w:i w:val="false"/>
          <w:color w:val="000000"/>
          <w:sz w:val="22"/>
        </w:rPr>
        <w:t xml:space="preserve">Remuneration paid to officers of “subchapter S” corporations for services performed in Iowa shall be deemed to be wages. Any corporate dividends must be approved and recorded in the corporate minutes prior to payment of such dividends. Remuneration to shareholders shall not be deemed to be dividends if such remuneration is paid regularly, either weekly or monthly, and is not in proportion to such shareholder’s amount of stock, or in proportion to such shareholder’s investment in the corporation. Corporate dividends are not considered wages. Ordinary income distributions as reported on IRS Form K-1 will not be considered to be wages provided that distributions are made proportionate to stock ownership or shareholder’s investment and provided that corporate officers performing services for the corporation have received appropriate remuneration for services performed as defined by the Internal Revenue Service and the remuneration is reported as wages. Paragraph </w:t>
      </w:r>
      <w:r>
        <w:rPr>
          <w:rFonts w:ascii="Times New Roman" w:hAnsi="Times New Roman"/>
          <w:b w:val="false"/>
          <w:i w:val="false"/>
          <w:color w:val="000000"/>
          <w:sz w:val="22"/>
        </w:rPr>
        <w:t>23.3(2)</w:t>
      </w:r>
      <w:r>
        <w:rPr>
          <w:rFonts w:ascii="Times New Roman" w:hAnsi="Times New Roman"/>
          <w:b w:val="false"/>
          <w:i/>
          <w:color w:val="000000"/>
          <w:sz w:val="22"/>
        </w:rPr>
        <w:t>“f”</w:t>
      </w:r>
      <w:r>
        <w:rPr>
          <w:rFonts w:ascii="Times New Roman" w:hAnsi="Times New Roman"/>
          <w:b w:val="false"/>
          <w:i w:val="false"/>
          <w:color w:val="000000"/>
          <w:sz w:val="22"/>
        </w:rPr>
        <w:t xml:space="preserve"> describes possible exclusion of wages paid to corporate officers who are majority stockholders.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Wages of employees hired with equipment. </w:t>
      </w:r>
      <w:r>
        <w:rPr>
          <w:rFonts w:ascii="Times New Roman" w:hAnsi="Times New Roman"/>
          <w:b w:val="false"/>
          <w:i w:val="false"/>
          <w:color w:val="000000"/>
          <w:sz w:val="22"/>
        </w:rPr>
        <w:t>Where an employee is hired with equipment, except where it is ordinary in custom and usage in the trade or business for employees to furnish such equipment at their own expense, the fair value of the remuneration for the employee’s services, if specified in the contract of hire, shall be considered wages. If the contract of hire does not specify the employee’s wages, or the value of the wages agreed upon under the contract of hire is not a fair value, the department shall determine the employee’s wages, taking into consideration the prevailing wages for similar work under comparable conditions, and the wages thus determined shall apply as wages and be so reported by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Union members. </w:t>
      </w:r>
      <w:r>
        <w:rPr>
          <w:rFonts w:ascii="Times New Roman" w:hAnsi="Times New Roman"/>
          <w:b w:val="false"/>
          <w:i w:val="false"/>
          <w:color w:val="000000"/>
          <w:sz w:val="22"/>
        </w:rPr>
        <w:t>Members of a union, subject to the direction and control of the union and acting on behalf of the union, are considered employees of the union with respect to the services performed. Payments made to them by the union as reimbursement for time lost from their regular employment are considered wages.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Cafeteria plans. </w:t>
      </w:r>
      <w:r>
        <w:rPr>
          <w:rFonts w:ascii="Times New Roman" w:hAnsi="Times New Roman"/>
          <w:b w:val="false"/>
          <w:i w:val="false"/>
          <w:color w:val="000000"/>
          <w:sz w:val="22"/>
        </w:rPr>
        <w:t xml:space="preserve">A cafeteria plan is a set of benefit options offered by the employer to employees or to a class of employees. A particular benefit in a cafeteria plan will be considered to be “wages” subject to contributions (tax) for Iowa unemployment insurance purposes if the employee has the option of receiving a cash payment in lieu of the benefit. If the employee does not have the option of receiving a cash payment, the benefit will still be considered “wages” subject to contributions unless the benefit is specifically excluded from the definition of “wages” in Iowa Code section </w:t>
      </w:r>
      <w:hyperlink r:id="rId26">
        <w:r>
          <w:rPr>
            <w:rStyle w:val="Hyperlink"/>
            <w:rFonts w:ascii="Times New Roman" w:hAnsi="Times New Roman"/>
            <w:b w:val="false"/>
            <w:i w:val="false"/>
            <w:color w:val="000000"/>
            <w:sz w:val="22"/>
          </w:rPr>
          <w:t>96.1A(40)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Personal use of company vehicle. </w:t>
      </w:r>
      <w:r>
        <w:rPr>
          <w:rFonts w:ascii="Times New Roman" w:hAnsi="Times New Roman"/>
          <w:b w:val="false"/>
          <w:i w:val="false"/>
          <w:color w:val="000000"/>
          <w:sz w:val="22"/>
        </w:rPr>
        <w:t>The cash value of personal use of a company automobile or other vehicle is “wages” subject to contributions (tax) for Iowa unemployment insurance purposes and shall be reported to the department as wages paid in the quarter in which the personal use occurred.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7">
        <w:r>
          <w:rPr>
            <w:rStyle w:val="Hyperlink"/>
            <w:rFonts w:ascii="Times New Roman" w:hAnsi="Times New Roman"/>
            <w:b w:val="false"/>
            <w:i w:val="false"/>
            <w:color w:val="000000"/>
            <w:sz w:val="22"/>
          </w:rPr>
          <w:t>96.5(5)</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hyperlink r:id="rId28">
        <w:r>
          <w:rPr>
            <w:rStyle w:val="Hyperlink"/>
            <w:rFonts w:ascii="Times New Roman" w:hAnsi="Times New Roman"/>
            <w:b w:val="false"/>
            <w:i w:val="false"/>
            <w:color w:val="000000"/>
            <w:sz w:val="22"/>
          </w:rPr>
          <w:t>96.1A(40)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871—23.4</w:t>
      </w:r>
      <w:r>
        <w:rPr>
          <w:rFonts w:ascii="Times New Roman" w:hAnsi="Times New Roman"/>
          <w:b/>
          <w:i w:val="false"/>
          <w:color w:val="000000"/>
          <w:sz w:val="22"/>
        </w:rPr>
        <w:t xml:space="preserve">(96) </w:t>
      </w:r>
      <w:r>
        <w:rPr>
          <w:rFonts w:ascii="Times New Roman" w:hAnsi="Times New Roman"/>
          <w:b/>
          <w:i w:val="false"/>
          <w:color w:val="000000"/>
          <w:sz w:val="22"/>
        </w:rPr>
        <w:t xml:space="preserve">Wages—back pay. </w:t>
      </w:r>
      <w:r>
        <w:rPr>
          <w:rFonts w:ascii="Times New Roman" w:hAnsi="Times New Roman"/>
          <w:b w:val="false"/>
          <w:i w:val="false"/>
          <w:color w:val="000000"/>
          <w:sz w:val="22"/>
        </w:rPr>
        <w:t>A payment in the form of or in lieu of back pay to an individual (exclusive of legal fees and other litigation expenses) shall be reported by the employer as total and taxable wages paid to the individual in the quarter in which the employer actually made the payment in the form of or in lieu of back pay. A payment for back pay is taxable and recoverable if it meets the definition of wages. Punitive or liquidated damages for other than lost wages, and job search expenses, are not taxable, recoverable or deductible as a back pay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23.4(1)</w:t>
      </w:r>
      <w:r>
        <w:rPr>
          <w:rFonts w:ascii="Times New Roman" w:hAnsi="Times New Roman"/>
          <w:b w:val="false"/>
          <w:i w:val="false"/>
          <w:color w:val="000000"/>
          <w:sz w:val="22"/>
        </w:rPr>
        <w:t> </w:t>
      </w:r>
      <w:r>
        <w:rPr>
          <w:rFonts w:ascii="Times New Roman" w:hAnsi="Times New Roman"/>
          <w:b w:val="false"/>
          <w:i w:val="false"/>
          <w:color w:val="000000"/>
          <w:sz w:val="22"/>
        </w:rPr>
        <w:t>Where the back pay wages, award or a judgment are paid as remuneration for employment by an employer into an account for an individual, the amount is considered as wages paid in the quarter in which the employer or appointed party actually pays the amount to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23.4(2)</w:t>
      </w:r>
      <w:r>
        <w:rPr>
          <w:rFonts w:ascii="Times New Roman" w:hAnsi="Times New Roman"/>
          <w:b w:val="false"/>
          <w:i w:val="false"/>
          <w:color w:val="000000"/>
          <w:sz w:val="22"/>
        </w:rPr>
        <w:t> </w:t>
      </w:r>
      <w:r>
        <w:rPr>
          <w:rFonts w:ascii="Times New Roman" w:hAnsi="Times New Roman"/>
          <w:b w:val="false"/>
          <w:i w:val="false"/>
          <w:color w:val="000000"/>
          <w:sz w:val="22"/>
        </w:rPr>
        <w:t>Where the department, individual, and employer agree that the employer may remit to the department amounts to repay a benefit overpayment resulting from receipt of back pay, the employer is required to report this amount to the department as total and taxable wages paid to the individual in the calendar quarter in which the amount is actually paid.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9">
        <w:r>
          <w:rPr>
            <w:rStyle w:val="Hyperlink"/>
            <w:rFonts w:ascii="Times New Roman" w:hAnsi="Times New Roman"/>
            <w:b w:val="false"/>
            <w:i w:val="false"/>
            <w:color w:val="000000"/>
            <w:sz w:val="22"/>
          </w:rPr>
          <w:t>96.3(8)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871—23.5</w:t>
      </w:r>
      <w:r>
        <w:rPr>
          <w:rFonts w:ascii="Times New Roman" w:hAnsi="Times New Roman"/>
          <w:b/>
          <w:i w:val="false"/>
          <w:color w:val="000000"/>
          <w:sz w:val="22"/>
        </w:rPr>
        <w:t xml:space="preserve">(96) </w:t>
      </w:r>
      <w:r>
        <w:rPr>
          <w:rFonts w:ascii="Times New Roman" w:hAnsi="Times New Roman"/>
          <w:b/>
          <w:i w:val="false"/>
          <w:color w:val="000000"/>
          <w:sz w:val="22"/>
        </w:rPr>
        <w:t xml:space="preserve">Gratuities and tips.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23.5(1)</w:t>
      </w:r>
      <w:r>
        <w:rPr>
          <w:rFonts w:ascii="Times New Roman" w:hAnsi="Times New Roman"/>
          <w:b w:val="false"/>
          <w:i w:val="false"/>
          <w:color w:val="000000"/>
          <w:sz w:val="22"/>
        </w:rPr>
        <w:t> </w:t>
      </w:r>
      <w:r>
        <w:rPr>
          <w:rFonts w:ascii="Times New Roman" w:hAnsi="Times New Roman"/>
          <w:b w:val="false"/>
          <w:i w:val="false"/>
          <w:color w:val="000000"/>
          <w:sz w:val="22"/>
        </w:rPr>
        <w:t xml:space="preserve">Tips received by an individual from a person or persons other than the individual’s employer, and not accounted for to the employer, are not wages unless required by subrule </w:t>
      </w:r>
      <w:r>
        <w:rPr>
          <w:rFonts w:ascii="Times New Roman" w:hAnsi="Times New Roman"/>
          <w:b w:val="false"/>
          <w:i w:val="false"/>
          <w:color w:val="000000"/>
          <w:sz w:val="22"/>
        </w:rPr>
        <w:t>23.5(2)</w:t>
      </w:r>
      <w:r>
        <w:rPr>
          <w:rFonts w:ascii="Times New Roman" w:hAnsi="Times New Roman"/>
          <w:b w:val="false"/>
          <w:i w:val="false"/>
          <w:color w:val="000000"/>
          <w:sz w:val="22"/>
        </w:rPr>
        <w:t xml:space="preserve">. If the employee makes an accounting to the employer listing the tips received, these tips must be reported to the department as total and taxable wages. Where the customer writes the amount of the tip on a bill and the employer pays the employee the amount so shown and charges it to the customer’s account, such amounts are wages.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23.5(2)</w:t>
      </w:r>
      <w:r>
        <w:rPr>
          <w:rFonts w:ascii="Times New Roman" w:hAnsi="Times New Roman"/>
          <w:b w:val="false"/>
          <w:i w:val="false"/>
          <w:color w:val="000000"/>
          <w:sz w:val="22"/>
        </w:rPr>
        <w:t> </w:t>
      </w:r>
      <w:r>
        <w:rPr>
          <w:rFonts w:ascii="Times New Roman" w:hAnsi="Times New Roman"/>
          <w:b w:val="false"/>
          <w:i w:val="false"/>
          <w:color w:val="000000"/>
          <w:sz w:val="22"/>
        </w:rPr>
        <w:t>Tips are considered reportable and taxable as wages when taken into account by the employer in determining the employee’s compensation under the federal wage and hour law, when paid by the customer as a service charge set by the employer, or when pooled and distributed to the employees by the employer. The employer shall keep sufficient detailed records so that it can be ascertained, if necessary, by audit or other authorized inspection which compensation is reportable as taxable tips and which compensation is reportable as compensation other than tips. For reporting purposes to the department, the tips and other reportable and taxable compensation may be submitted in aggregate on Form 65-5300, Employer’s Contribution and Payroll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23.5(3)</w:t>
      </w:r>
      <w:r>
        <w:rPr>
          <w:rFonts w:ascii="Times New Roman" w:hAnsi="Times New Roman"/>
          <w:b w:val="false"/>
          <w:i w:val="false"/>
          <w:color w:val="000000"/>
          <w:sz w:val="22"/>
        </w:rPr>
        <w:t> </w:t>
      </w:r>
      <w:r>
        <w:rPr>
          <w:rFonts w:ascii="Times New Roman" w:hAnsi="Times New Roman"/>
          <w:b w:val="false"/>
          <w:i w:val="false"/>
          <w:color w:val="000000"/>
          <w:sz w:val="22"/>
        </w:rPr>
        <w:t>An accounting as used in this rule means the reporting of tips as gratuities by an employee to the employer for the purpose of deducting social security taxes or withholding taxes with the employer reporting the same on Form 941, Employer’s Quarterly Federal Tax Return.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0">
        <w:r>
          <w:rPr>
            <w:rStyle w:val="Hyperlink"/>
            <w:rFonts w:ascii="Times New Roman" w:hAnsi="Times New Roman"/>
            <w:b w:val="false"/>
            <w:i w:val="false"/>
            <w:color w:val="000000"/>
            <w:sz w:val="22"/>
          </w:rPr>
          <w:t>96.1A(40)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871—23.6</w:t>
      </w:r>
      <w:r>
        <w:rPr>
          <w:rFonts w:ascii="Times New Roman" w:hAnsi="Times New Roman"/>
          <w:b/>
          <w:i w:val="false"/>
          <w:color w:val="000000"/>
          <w:sz w:val="22"/>
        </w:rPr>
        <w:t xml:space="preserve">(96) </w:t>
      </w:r>
      <w:r>
        <w:rPr>
          <w:rFonts w:ascii="Times New Roman" w:hAnsi="Times New Roman"/>
          <w:b/>
          <w:i w:val="false"/>
          <w:color w:val="000000"/>
          <w:sz w:val="22"/>
        </w:rPr>
        <w:t xml:space="preserve">Taxable wages.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23.6(1)</w:t>
      </w:r>
      <w:r>
        <w:rPr>
          <w:rFonts w:ascii="Times New Roman" w:hAnsi="Times New Roman"/>
          <w:b w:val="false"/>
          <w:i w:val="false"/>
          <w:color w:val="000000"/>
          <w:sz w:val="22"/>
        </w:rPr>
        <w:t> </w:t>
      </w:r>
      <w:r>
        <w:rPr>
          <w:rFonts w:ascii="Times New Roman" w:hAnsi="Times New Roman"/>
          <w:b w:val="false"/>
          <w:i w:val="false"/>
          <w:color w:val="000000"/>
          <w:sz w:val="22"/>
        </w:rPr>
        <w:t>If an individual has more than one employer, each employer must pay contributions on the employee’s wages up to the taxable wage base.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23.6(2)</w:t>
      </w:r>
      <w:r>
        <w:rPr>
          <w:rFonts w:ascii="Times New Roman" w:hAnsi="Times New Roman"/>
          <w:b w:val="false"/>
          <w:i w:val="false"/>
          <w:color w:val="000000"/>
          <w:sz w:val="22"/>
        </w:rPr>
        <w:t> </w:t>
      </w:r>
      <w:r>
        <w:rPr>
          <w:rFonts w:ascii="Times New Roman" w:hAnsi="Times New Roman"/>
          <w:b w:val="false"/>
          <w:i w:val="false"/>
          <w:color w:val="000000"/>
          <w:sz w:val="22"/>
        </w:rPr>
        <w:t>The employer may not deduct any part of the contributions due on taxable wages from an employee’s pay.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23.6(3)</w:t>
      </w:r>
      <w:r>
        <w:rPr>
          <w:rFonts w:ascii="Times New Roman" w:hAnsi="Times New Roman"/>
          <w:b w:val="false"/>
          <w:i w:val="false"/>
          <w:color w:val="000000"/>
          <w:sz w:val="22"/>
        </w:rPr>
        <w:t> </w:t>
      </w:r>
      <w:r>
        <w:rPr>
          <w:rFonts w:ascii="Times New Roman" w:hAnsi="Times New Roman"/>
          <w:b w:val="false"/>
          <w:i w:val="false"/>
          <w:color w:val="000000"/>
          <w:sz w:val="22"/>
        </w:rPr>
        <w:t>Only wages reported to the Iowa unemployment insurance program may be used in computing the employee’s reportable taxable wages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23.6(4)</w:t>
      </w:r>
      <w:r>
        <w:rPr>
          <w:rFonts w:ascii="Times New Roman" w:hAnsi="Times New Roman"/>
          <w:b w:val="false"/>
          <w:i w:val="false"/>
          <w:color w:val="000000"/>
          <w:sz w:val="22"/>
        </w:rPr>
        <w:t> </w:t>
      </w:r>
      <w:r>
        <w:rPr>
          <w:rFonts w:ascii="Times New Roman" w:hAnsi="Times New Roman"/>
          <w:b w:val="false"/>
          <w:i w:val="false"/>
          <w:color w:val="000000"/>
          <w:sz w:val="22"/>
        </w:rPr>
        <w:t>A successor employer may use the taxable wages paid and reported by the predecessor employer to determine the successor employer’s taxable wages if the successor employer received a transfer of experience from the predecessor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23.6(5)</w:t>
      </w:r>
      <w:r>
        <w:rPr>
          <w:rFonts w:ascii="Times New Roman" w:hAnsi="Times New Roman"/>
          <w:b w:val="false"/>
          <w:i w:val="false"/>
          <w:color w:val="000000"/>
          <w:sz w:val="22"/>
        </w:rPr>
        <w:t> </w:t>
      </w:r>
      <w:r>
        <w:rPr>
          <w:rFonts w:ascii="Times New Roman" w:hAnsi="Times New Roman"/>
          <w:b w:val="false"/>
          <w:i w:val="false"/>
          <w:color w:val="000000"/>
          <w:sz w:val="22"/>
        </w:rPr>
        <w:t>A successor employer that received a transfer of experience may, at the successor employer’s option, use the taxable wages reported by the predecessor to compute the taxable wages for the balance of the calendar year or may compute the taxable wages as if the employees acquired from the predecessor were new employees.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
        <w:r>
          <w:rPr>
            <w:rStyle w:val="Hyperlink"/>
            <w:rFonts w:ascii="Times New Roman" w:hAnsi="Times New Roman"/>
            <w:b w:val="false"/>
            <w:i w:val="false"/>
            <w:color w:val="000000"/>
            <w:sz w:val="22"/>
          </w:rPr>
          <w:t>96.1A(36)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871—23.7</w:t>
      </w:r>
      <w:r>
        <w:rPr>
          <w:rFonts w:ascii="Times New Roman" w:hAnsi="Times New Roman"/>
          <w:b/>
          <w:i w:val="false"/>
          <w:color w:val="000000"/>
          <w:sz w:val="22"/>
        </w:rPr>
        <w:t xml:space="preserve">(96) </w:t>
      </w:r>
      <w:r>
        <w:rPr>
          <w:rFonts w:ascii="Times New Roman" w:hAnsi="Times New Roman"/>
          <w:b/>
          <w:i w:val="false"/>
          <w:color w:val="000000"/>
          <w:sz w:val="22"/>
        </w:rPr>
        <w:t xml:space="preserve">New employer contribution rates.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23.7(1)</w:t>
      </w:r>
      <w:r>
        <w:rPr>
          <w:rFonts w:ascii="Times New Roman" w:hAnsi="Times New Roman"/>
          <w:b w:val="false"/>
          <w:i w:val="false"/>
          <w:color w:val="000000"/>
          <w:sz w:val="22"/>
        </w:rPr>
        <w:t> </w:t>
      </w:r>
      <w:r>
        <w:rPr>
          <w:rFonts w:ascii="Times New Roman" w:hAnsi="Times New Roman"/>
          <w:b w:val="false"/>
          <w:i w:val="false"/>
          <w:color w:val="000000"/>
          <w:sz w:val="22"/>
        </w:rPr>
        <w:t>The term contributory employer excludes reimbursable employers but includes employers with a “zero”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23.7(2)</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rule, an administrative contribution surcharge and a temporary emergency surcharge may be added to an employer’s contribution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23.7(3)</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rule, the first quarter in which an employer’s account will be considered chargeable with benefits will be the third quarter of the employer’s liability unless the employer paid and reported no wages during the first two quarters of liability. In that case, the employer will not be considered chargeable with benefits until the first quarter in which the employer pays and reports wages. Once an employer’s account has been chargeable with benefits, it will be considered chargeable for rate computation purposes until it is terminated.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23.7(4)</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purposes of this rule, any single employer that has two or more establishments or businesses engaged in different industrial classification activities, with one or more establishments or businesses engaged in construction activity as defined in rule </w:t>
      </w:r>
      <w:hyperlink r:id="rId32">
        <w:r>
          <w:rPr>
            <w:rStyle w:val="Hyperlink"/>
            <w:rFonts w:ascii="Times New Roman" w:hAnsi="Times New Roman"/>
            <w:b w:val="false"/>
            <w:i w:val="false"/>
            <w:color w:val="000000"/>
            <w:sz w:val="22"/>
          </w:rPr>
          <w:t>871—23.82</w:t>
        </w:r>
      </w:hyperlink>
      <w:r>
        <w:rPr>
          <w:rFonts w:ascii="Times New Roman" w:hAnsi="Times New Roman"/>
          <w:b w:val="false"/>
          <w:i w:val="false"/>
          <w:color w:val="000000"/>
          <w:sz w:val="22"/>
        </w:rPr>
        <w:t>(96), will be assigned the contribution rate applicable to construction if 50 percent or more of the combined business activity is derived from the establishments or businesses engaged in construction activities.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3">
        <w:r>
          <w:rPr>
            <w:rStyle w:val="Hyperlink"/>
            <w:rFonts w:ascii="Times New Roman" w:hAnsi="Times New Roman"/>
            <w:b w:val="false"/>
            <w:i w:val="false"/>
            <w:color w:val="000000"/>
            <w:sz w:val="22"/>
          </w:rPr>
          <w:t>96.7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871—23.8</w:t>
      </w:r>
      <w:r>
        <w:rPr>
          <w:rFonts w:ascii="Times New Roman" w:hAnsi="Times New Roman"/>
          <w:b/>
          <w:i w:val="false"/>
          <w:color w:val="000000"/>
          <w:sz w:val="22"/>
        </w:rPr>
        <w:t xml:space="preserve">(96) </w:t>
      </w:r>
      <w:r>
        <w:rPr>
          <w:rFonts w:ascii="Times New Roman" w:hAnsi="Times New Roman"/>
          <w:b/>
          <w:i w:val="false"/>
          <w:color w:val="000000"/>
          <w:sz w:val="22"/>
        </w:rPr>
        <w:t xml:space="preserve">Due date of quarterly contribution and payroll.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23.8(1)</w:t>
      </w:r>
      <w:r>
        <w:rPr>
          <w:rFonts w:ascii="Times New Roman" w:hAnsi="Times New Roman"/>
          <w:b w:val="false"/>
          <w:i w:val="false"/>
          <w:color w:val="000000"/>
          <w:sz w:val="22"/>
        </w:rPr>
        <w:t> </w:t>
      </w:r>
      <w:r>
        <w:rPr>
          <w:rFonts w:ascii="Times New Roman" w:hAnsi="Times New Roman"/>
          <w:b w:val="false"/>
          <w:i/>
          <w:color w:val="000000"/>
          <w:sz w:val="22"/>
        </w:rPr>
        <w:t xml:space="preserve">Due date. </w:t>
      </w:r>
      <w:r>
        <w:rPr>
          <w:rFonts w:ascii="Times New Roman" w:hAnsi="Times New Roman"/>
          <w:b w:val="false"/>
          <w:i w:val="false"/>
          <w:color w:val="000000"/>
          <w:sz w:val="22"/>
        </w:rPr>
        <w:t xml:space="preserve">All covered employers subject to Iowa Code section </w:t>
      </w:r>
      <w:hyperlink r:id="rId34">
        <w:r>
          <w:rPr>
            <w:rStyle w:val="Hyperlink"/>
            <w:rFonts w:ascii="Times New Roman" w:hAnsi="Times New Roman"/>
            <w:b w:val="false"/>
            <w:i w:val="false"/>
            <w:color w:val="000000"/>
            <w:sz w:val="22"/>
          </w:rPr>
          <w:t>96.7</w:t>
        </w:r>
      </w:hyperlink>
      <w:r>
        <w:rPr>
          <w:rFonts w:ascii="Times New Roman" w:hAnsi="Times New Roman"/>
          <w:b w:val="false"/>
          <w:i w:val="false"/>
          <w:color w:val="000000"/>
          <w:sz w:val="22"/>
        </w:rPr>
        <w:t xml:space="preserve"> shall file with the department quarterly contribution and payroll reports on or before the due date, and any employer failing to file a quarterly when due shall be considered delinquent.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Contributions are due quarterly on the last day of the month following the calendar quarter for which the contributions have accrued. The first payment of all employers becoming liable during a calendar year unless otherwise noted shall include contributions with respect to all wages paid for employment from the first day of the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any due date listed in this rule falls on a Saturday, Sunday, or legal holiday, the due date is the next following business day. Quarterly wage detail, contributions, and payments in lieu of contributions, if mailed, shall be considered as received on the date shown on the postmark of the envelope in which they are received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23.8(2)</w:t>
      </w:r>
      <w:r>
        <w:rPr>
          <w:rFonts w:ascii="Times New Roman" w:hAnsi="Times New Roman"/>
          <w:b w:val="false"/>
          <w:i w:val="false"/>
          <w:color w:val="000000"/>
          <w:sz w:val="22"/>
        </w:rPr>
        <w:t> </w:t>
      </w:r>
      <w:r>
        <w:rPr>
          <w:rFonts w:ascii="Times New Roman" w:hAnsi="Times New Roman"/>
          <w:b w:val="false"/>
          <w:i/>
          <w:color w:val="000000"/>
          <w:sz w:val="22"/>
        </w:rPr>
        <w:t xml:space="preserve">Due date for new employer. </w:t>
      </w:r>
      <w:r>
        <w:rPr>
          <w:rFonts w:ascii="Times New Roman" w:hAnsi="Times New Roman"/>
          <w:b w:val="false"/>
          <w:i w:val="false"/>
          <w:color w:val="000000"/>
          <w:sz w:val="22"/>
        </w:rPr>
        <w:t xml:space="preserve">The first contribution payment of any employer who becomes newly liable for contributions in any year are due on the last day of the month following that quarter wherein occurred the twentieth calendar week, during the calendar year within which a total of one or more workers were employed on any one day, or the last day of the month following that calendar quarter in which the first dollar in Iowa wages has been paid.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first contribution payment of any agricultural employer who becomes newly liable for contributions in any year will become due on the last day of the month following that quarter wherein occurred the twentieth calendar week, during the calendar year within which a total of ten or more workers were employed on any one day, or the last day of the month following that calendar quarter in which a total of $20,000 in wages was paid.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first contribution payment of any domestic employer who becomes newly liable for contributions in any year will become due and payable on the last day of the month following that quarter wherein the liability was established, or the last day of the month following that calendar quarter in which a total of $1,000 in wages was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23.8(3)</w:t>
      </w:r>
      <w:r>
        <w:rPr>
          <w:rFonts w:ascii="Times New Roman" w:hAnsi="Times New Roman"/>
          <w:b w:val="false"/>
          <w:i w:val="false"/>
          <w:color w:val="000000"/>
          <w:sz w:val="22"/>
        </w:rPr>
        <w:t> </w:t>
      </w:r>
      <w:r>
        <w:rPr>
          <w:rFonts w:ascii="Times New Roman" w:hAnsi="Times New Roman"/>
          <w:b w:val="false"/>
          <w:i/>
          <w:color w:val="000000"/>
          <w:sz w:val="22"/>
        </w:rPr>
        <w:t xml:space="preserve">Due date for elective coverage. </w:t>
      </w:r>
      <w:r>
        <w:rPr>
          <w:rFonts w:ascii="Times New Roman" w:hAnsi="Times New Roman"/>
          <w:b w:val="false"/>
          <w:i w:val="false"/>
          <w:color w:val="000000"/>
          <w:sz w:val="22"/>
        </w:rPr>
        <w:t>The first contribution payment of any employing unit that elects with the written approval of such election by the department to become an employer, or to have nonsubject services performed for it deemed employment, is due on the last day of the month next following the close of the calendar quarter in which the conditions of becoming an employer by election are satisfied, and includes contributions with respect to all wages paid for employment occurring on and after the date stated in such approval (as of which such employing unit becomes an employer), up to and including the calendar quarter in which the conditions of becoming an employer by election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23.8(4)</w:t>
      </w:r>
      <w:r>
        <w:rPr>
          <w:rFonts w:ascii="Times New Roman" w:hAnsi="Times New Roman"/>
          <w:b w:val="false"/>
          <w:i w:val="false"/>
          <w:color w:val="000000"/>
          <w:sz w:val="22"/>
        </w:rPr>
        <w:t> </w:t>
      </w:r>
      <w:r>
        <w:rPr>
          <w:rFonts w:ascii="Times New Roman" w:hAnsi="Times New Roman"/>
          <w:b w:val="false"/>
          <w:i/>
          <w:color w:val="000000"/>
          <w:sz w:val="22"/>
        </w:rPr>
        <w:t xml:space="preserve">Due date for newly liable employer. </w:t>
      </w:r>
      <w:r>
        <w:rPr>
          <w:rFonts w:ascii="Times New Roman" w:hAnsi="Times New Roman"/>
          <w:b w:val="false"/>
          <w:i w:val="false"/>
          <w:color w:val="000000"/>
          <w:sz w:val="22"/>
        </w:rPr>
        <w:t xml:space="preserve">The first contribution payment of an employer who becomes newly liable for contributions in any year in any other manner is due on the last day of the month next following the quarter wherein such individual or employing unit became an employer.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23.8(5)</w:t>
      </w:r>
      <w:r>
        <w:rPr>
          <w:rFonts w:ascii="Times New Roman" w:hAnsi="Times New Roman"/>
          <w:b w:val="false"/>
          <w:i w:val="false"/>
          <w:color w:val="000000"/>
          <w:sz w:val="22"/>
        </w:rPr>
        <w:t> </w:t>
      </w:r>
      <w:r>
        <w:rPr>
          <w:rFonts w:ascii="Times New Roman" w:hAnsi="Times New Roman"/>
          <w:b w:val="false"/>
          <w:i/>
          <w:color w:val="000000"/>
          <w:sz w:val="22"/>
        </w:rPr>
        <w:t xml:space="preserve">Delinquent date and penalty and interest.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quarterly wage detail or contribution payment or payment in lieu of contributions that is not received on or before the due date is delinquent. An employer who fails to timely file quarterly contribution and payroll is liable to the department, for each such delinquent quarter, subject to waiver for good cause shown, a penalty as provided in Iowa Code section </w:t>
      </w:r>
      <w:hyperlink r:id="rId35">
        <w:r>
          <w:rPr>
            <w:rStyle w:val="Hyperlink"/>
            <w:rFonts w:ascii="Times New Roman" w:hAnsi="Times New Roman"/>
            <w:b w:val="false"/>
            <w:i w:val="false"/>
            <w:color w:val="000000"/>
            <w:sz w:val="22"/>
          </w:rPr>
          <w:t>96.14(2)</w:t>
        </w:r>
      </w:hyperlink>
      <w:r>
        <w:rPr>
          <w:rFonts w:ascii="Times New Roman" w:hAnsi="Times New Roman"/>
          <w:b w:val="false"/>
          <w:i w:val="false"/>
          <w:color w:val="000000"/>
          <w:sz w:val="22"/>
        </w:rPr>
        <w:t>. No penalty will  apply to delinquent quarters when the employer proves to the satisfaction of the department that no wages were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employer who has not paid contributions or payments in lieu of contributions on or before the due date shall pay interest on the delinquent contribution at the rate of 1 percent per month, or 1/30 of 1 percent for each day or fraction thereof, from and after the due date until payment is received by the department unless good cause is shown why such interest shall be waived.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23.8(6)</w:t>
      </w:r>
      <w:r>
        <w:rPr>
          <w:rFonts w:ascii="Times New Roman" w:hAnsi="Times New Roman"/>
          <w:b w:val="false"/>
          <w:i w:val="false"/>
          <w:color w:val="000000"/>
          <w:sz w:val="22"/>
        </w:rPr>
        <w:t> </w:t>
      </w:r>
      <w:r>
        <w:rPr>
          <w:rFonts w:ascii="Times New Roman" w:hAnsi="Times New Roman"/>
          <w:b w:val="false"/>
          <w:i/>
          <w:color w:val="000000"/>
          <w:sz w:val="22"/>
        </w:rPr>
        <w:t xml:space="preserve">Due date upon demand. </w:t>
      </w:r>
      <w:r>
        <w:rPr>
          <w:rFonts w:ascii="Times New Roman" w:hAnsi="Times New Roman"/>
          <w:b w:val="false"/>
          <w:i w:val="false"/>
          <w:color w:val="000000"/>
          <w:sz w:val="22"/>
        </w:rPr>
        <w:t>If the department finds that the collection of any contribution or payment in lieu of contributions will be jeopardized by delaying the collection thereof until the date otherwise described, upon written demand by the department, such contribution or payment in lieu of contribution shall become immediately due and delinquent.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23.8(7)</w:t>
      </w:r>
      <w:r>
        <w:rPr>
          <w:rFonts w:ascii="Times New Roman" w:hAnsi="Times New Roman"/>
          <w:b w:val="false"/>
          <w:i w:val="false"/>
          <w:color w:val="000000"/>
          <w:sz w:val="22"/>
        </w:rPr>
        <w:t> </w:t>
      </w:r>
      <w:r>
        <w:rPr>
          <w:rFonts w:ascii="Times New Roman" w:hAnsi="Times New Roman"/>
          <w:b w:val="false"/>
          <w:i/>
          <w:color w:val="000000"/>
          <w:sz w:val="22"/>
        </w:rPr>
        <w:t xml:space="preserve">Extension of time. </w:t>
      </w:r>
      <w:r>
        <w:rPr>
          <w:rFonts w:ascii="Times New Roman" w:hAnsi="Times New Roman"/>
          <w:b w:val="false"/>
          <w:i w:val="false"/>
          <w:color w:val="000000"/>
          <w:sz w:val="22"/>
        </w:rPr>
        <w:t>Upon written request filed with the department before the due date of any contribution and payroll, the department may, for good cause shown, grant an extension in writing of the time for filing and the payment of the contributions, but no extension may exceed 30 days and no extension may postpone payment beyond the last day for filing tax returns under the Federal Unemployment Tax Act. If an employer who has been granted an extension fails to pay the contribution on or before the termination of the period of such extension, interest shall be payable from the original due date as if no extension had been granted.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6">
        <w:r>
          <w:rPr>
            <w:rStyle w:val="Hyperlink"/>
            <w:rFonts w:ascii="Times New Roman" w:hAnsi="Times New Roman"/>
            <w:b w:val="false"/>
            <w:i w:val="false"/>
            <w:color w:val="000000"/>
            <w:sz w:val="22"/>
          </w:rPr>
          <w:t>96.7(1)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871—23.9</w:t>
      </w:r>
      <w:r>
        <w:rPr>
          <w:rFonts w:ascii="Times New Roman" w:hAnsi="Times New Roman"/>
          <w:b/>
          <w:i w:val="false"/>
          <w:color w:val="000000"/>
          <w:sz w:val="22"/>
        </w:rPr>
        <w:t xml:space="preserve">(96) </w:t>
      </w:r>
      <w:r>
        <w:rPr>
          <w:rFonts w:ascii="Times New Roman" w:hAnsi="Times New Roman"/>
          <w:b/>
          <w:i w:val="false"/>
          <w:color w:val="000000"/>
          <w:sz w:val="22"/>
        </w:rPr>
        <w:t xml:space="preserve">Delinquency notice. </w:t>
      </w:r>
      <w:r>
        <w:rPr>
          <w:rFonts w:ascii="Times New Roman" w:hAnsi="Times New Roman"/>
          <w:b w:val="false"/>
          <w:i w:val="false"/>
          <w:color w:val="000000"/>
          <w:sz w:val="22"/>
        </w:rPr>
        <w:t>If an employer has not submitted its quarterly contribution and payroll with 20 days of the due date, IWD will issue, via mail or email to the address on file, a delinquency notice stating the employer’s name, account number, and experience rate and the quarter for which contribution and payroll is delinquent. If the employer has sold or dissolved the business, the employer is required to show the date of the last wages paid and the date of last employment. If the business was sold or transferred, the employer is required to provide the name and address of the successor and the employer’s future mailing address.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7">
        <w:r>
          <w:rPr>
            <w:rStyle w:val="Hyperlink"/>
            <w:rFonts w:ascii="Times New Roman" w:hAnsi="Times New Roman"/>
            <w:b w:val="false"/>
            <w:i w:val="false"/>
            <w:color w:val="000000"/>
            <w:sz w:val="22"/>
          </w:rPr>
          <w:t>96.7(2)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871—23.10</w:t>
      </w:r>
      <w:r>
        <w:rPr>
          <w:rFonts w:ascii="Times New Roman" w:hAnsi="Times New Roman"/>
          <w:b/>
          <w:i w:val="false"/>
          <w:color w:val="000000"/>
          <w:sz w:val="22"/>
        </w:rPr>
        <w:t xml:space="preserve">(96) </w:t>
      </w:r>
      <w:r>
        <w:rPr>
          <w:rFonts w:ascii="Times New Roman" w:hAnsi="Times New Roman"/>
          <w:b/>
          <w:i w:val="false"/>
          <w:color w:val="000000"/>
          <w:sz w:val="22"/>
        </w:rPr>
        <w:t xml:space="preserve">Payments in lieu of contributions.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23.10(1)</w:t>
      </w:r>
      <w:r>
        <w:rPr>
          <w:rFonts w:ascii="Times New Roman" w:hAnsi="Times New Roman"/>
          <w:b w:val="false"/>
          <w:i w:val="false"/>
          <w:color w:val="000000"/>
          <w:sz w:val="22"/>
        </w:rPr>
        <w:t> </w:t>
      </w:r>
      <w:r>
        <w:rPr>
          <w:rFonts w:ascii="Times New Roman" w:hAnsi="Times New Roman"/>
          <w:b w:val="false"/>
          <w:i w:val="false"/>
          <w:color w:val="000000"/>
          <w:sz w:val="22"/>
        </w:rPr>
        <w:t>An employer who has qualified for reimbursement payments or has had an election to become a reimbursable employer approved shall pay to the department an amount equal to the amount of regular or extended benefits paid, including benefits that are based on wage credits transferred from another employer. If extended benefits are in effect, employers shall reimburse one-half of the extended benefits paid, except governmental employers and Indian tribes shall reimburse all extended benefits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23.10(2)</w:t>
      </w:r>
      <w:r>
        <w:rPr>
          <w:rFonts w:ascii="Times New Roman" w:hAnsi="Times New Roman"/>
          <w:b w:val="false"/>
          <w:i w:val="false"/>
          <w:color w:val="000000"/>
          <w:sz w:val="22"/>
        </w:rPr>
        <w:t> </w:t>
      </w:r>
      <w:r>
        <w:rPr>
          <w:rFonts w:ascii="Times New Roman" w:hAnsi="Times New Roman"/>
          <w:b w:val="false"/>
          <w:i w:val="false"/>
          <w:color w:val="000000"/>
          <w:sz w:val="22"/>
        </w:rPr>
        <w:t>At the end of each calendar quarter, the department shall bill each reimbursable employer via a statement sent within 30 days of the quarter for which the benefits are charged. The statement will include the social security number, name of claimant and amount of benefits charged to the employer for each claimant as well as the amount of any previous amounts due. Payment for each quarter’s charges is due within 30 days of the issuance of the statement. If the employer fails to reimburse the department within the period prescribed by these rules, the department may attempt collection of the amount due including any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Issuance of Notice of Jeopardy Assessment and Demand for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Issuance of Notice of Lien.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other actions as prescribed by the law or these rules, including collection by distress warrant. Interest on delinquent reimbursable benefits is charged at the rate of 1 percent per month or 1/30 of 1 percent per day from the date payment was due until the date of payment.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8">
        <w:r>
          <w:rPr>
            <w:rStyle w:val="Hyperlink"/>
            <w:rFonts w:ascii="Times New Roman" w:hAnsi="Times New Roman"/>
            <w:b w:val="false"/>
            <w:i w:val="false"/>
            <w:color w:val="000000"/>
            <w:sz w:val="22"/>
          </w:rPr>
          <w:t>96.7(8)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871—23.11</w:t>
      </w:r>
      <w:r>
        <w:rPr>
          <w:rFonts w:ascii="Times New Roman" w:hAnsi="Times New Roman"/>
          <w:b/>
          <w:i w:val="false"/>
          <w:color w:val="000000"/>
          <w:sz w:val="22"/>
        </w:rPr>
        <w:t xml:space="preserve">(96) </w:t>
      </w:r>
      <w:r>
        <w:rPr>
          <w:rFonts w:ascii="Times New Roman" w:hAnsi="Times New Roman"/>
          <w:b/>
          <w:i w:val="false"/>
          <w:color w:val="000000"/>
          <w:sz w:val="22"/>
        </w:rPr>
        <w:t xml:space="preserve">Identification of workers covered by the Iowa employment security law.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23.11(1)</w:t>
      </w:r>
      <w:r>
        <w:rPr>
          <w:rFonts w:ascii="Times New Roman" w:hAnsi="Times New Roman"/>
          <w:b w:val="false"/>
          <w:i w:val="false"/>
          <w:color w:val="000000"/>
          <w:sz w:val="22"/>
        </w:rPr>
        <w:t> </w:t>
      </w:r>
      <w:r>
        <w:rPr>
          <w:rFonts w:ascii="Times New Roman" w:hAnsi="Times New Roman"/>
          <w:b w:val="false"/>
          <w:i w:val="false"/>
          <w:color w:val="000000"/>
          <w:sz w:val="22"/>
        </w:rPr>
        <w:t>Each employer shall obtain the social security number of each of its employees subject to the Iowa employment security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23.11(2)</w:t>
      </w:r>
      <w:r>
        <w:rPr>
          <w:rFonts w:ascii="Times New Roman" w:hAnsi="Times New Roman"/>
          <w:b w:val="false"/>
          <w:i w:val="false"/>
          <w:color w:val="000000"/>
          <w:sz w:val="22"/>
        </w:rPr>
        <w:t> </w:t>
      </w:r>
      <w:r>
        <w:rPr>
          <w:rFonts w:ascii="Times New Roman" w:hAnsi="Times New Roman"/>
          <w:b w:val="false"/>
          <w:i w:val="false"/>
          <w:color w:val="000000"/>
          <w:sz w:val="22"/>
        </w:rPr>
        <w:t>An employer shall report the worker’s social security number in making any report required by the department with respect to the worker.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23.11(3)</w:t>
      </w:r>
      <w:r>
        <w:rPr>
          <w:rFonts w:ascii="Times New Roman" w:hAnsi="Times New Roman"/>
          <w:b w:val="false"/>
          <w:i w:val="false"/>
          <w:color w:val="000000"/>
          <w:sz w:val="22"/>
        </w:rPr>
        <w:t> </w:t>
      </w:r>
      <w:r>
        <w:rPr>
          <w:rFonts w:ascii="Times New Roman" w:hAnsi="Times New Roman"/>
          <w:b w:val="false"/>
          <w:i w:val="false"/>
          <w:color w:val="000000"/>
          <w:sz w:val="22"/>
        </w:rPr>
        <w:t>If a worker failed to report to the employer a correct social security number or fails to show the employer a receipt issued by an office of the social security board acknowledging that the worker has filed an application for an account number, the employer shall inform the worker that Regulation 106 of the Internal Revenue Service, United States Treasury Department, under the United States Federal Insurance Contributions Act provides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worker shall report to every employer for whom the worker is engaged in employment a social security number with the worker’s name exactly as shown on the social security card issued to the worker by the social security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worker who has not secured a social security number shall file an application for a social security account number on Form SS-5 of the Treasury Department, Internal Revenue Service. The application shall be filed on or before the seventh day after the date on which the worker first performs employment for wages, except that the application shall be filed on or before the date the worker leaves employment if such date precedes such seventh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within 14 days after the date on which the worker first performs employment for wages for the employer, or on the day on which the worker leaves the employ of the employer, whichever is the earlier, the worker does not have a social security account number, and has not shown the employer a receipt issued to the worker by an office of the social security board acknowledging that the worker has filed an application for an account number, the worker shall furnish the employer an application on Form SS-5, completely filled in and signed by the worker. If a copy of Form SS-5 is not available, the worker shall furnish the employer a written statement, signed by the worker, of the date of the statement, the worker’s full name, present address, date and place of birth, father’s full name, mother’s full name before marriage, and worker’s sex, and a statement as to whether the worker had previously filed an application on Form SS-5 and, if so, the date and place of such filing. Furnishing the employer with an executed Form SS-5, or statement in lieu thereof, does not relieve the worker of the obligation to make an application on Form SS-5 as required in paragraph </w:t>
      </w:r>
      <w:r>
        <w:rPr>
          <w:rFonts w:ascii="Times New Roman" w:hAnsi="Times New Roman"/>
          <w:b w:val="false"/>
          <w:i w:val="false"/>
          <w:color w:val="000000"/>
          <w:sz w:val="22"/>
        </w:rPr>
        <w:t>23.11(3)</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9">
        <w:r>
          <w:rPr>
            <w:rStyle w:val="Hyperlink"/>
            <w:rFonts w:ascii="Times New Roman" w:hAnsi="Times New Roman"/>
            <w:b w:val="false"/>
            <w:i w:val="false"/>
            <w:color w:val="000000"/>
            <w:sz w:val="22"/>
          </w:rPr>
          <w:t>96.7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871—23.12</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871—23.13</w:t>
      </w:r>
      <w:r>
        <w:rPr>
          <w:rFonts w:ascii="Times New Roman" w:hAnsi="Times New Roman"/>
          <w:b/>
          <w:i w:val="false"/>
          <w:color w:val="000000"/>
          <w:sz w:val="22"/>
        </w:rPr>
        <w:t xml:space="preserve">(96) </w:t>
      </w:r>
      <w:r>
        <w:rPr>
          <w:rFonts w:ascii="Times New Roman" w:hAnsi="Times New Roman"/>
          <w:b/>
          <w:i w:val="false"/>
          <w:color w:val="000000"/>
          <w:sz w:val="22"/>
        </w:rPr>
        <w:t xml:space="preserve">Employer elections to cover multistate workers.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23.13(1)</w:t>
      </w:r>
      <w:r>
        <w:rPr>
          <w:rFonts w:ascii="Times New Roman" w:hAnsi="Times New Roman"/>
          <w:b w:val="false"/>
          <w:i w:val="false"/>
          <w:color w:val="000000"/>
          <w:sz w:val="22"/>
        </w:rPr>
        <w:t> </w:t>
      </w:r>
      <w:r>
        <w:rPr>
          <w:rFonts w:ascii="Times New Roman" w:hAnsi="Times New Roman"/>
          <w:b w:val="false"/>
          <w:i/>
          <w:color w:val="000000"/>
          <w:sz w:val="22"/>
        </w:rPr>
        <w:t xml:space="preserve">Arrangement. </w:t>
      </w:r>
      <w:r>
        <w:rPr>
          <w:rFonts w:ascii="Times New Roman" w:hAnsi="Times New Roman"/>
          <w:b w:val="false"/>
          <w:i w:val="false"/>
          <w:color w:val="000000"/>
          <w:sz w:val="22"/>
        </w:rPr>
        <w:t xml:space="preserve">The following rule governs the department’s administrative cooperation with other states subscribing to the interstate reciprocal coverage arrangement, hereinafter referred to as the arrangement. Unless and until the department approves the arrangement via the Employer’s Election to Cover Multi-State Worker form or an accepted and approved form from another jurisdiction, employers are subject to localization of employment (rule </w:t>
      </w:r>
      <w:hyperlink r:id="rId40">
        <w:r>
          <w:rPr>
            <w:rStyle w:val="Hyperlink"/>
            <w:rFonts w:ascii="Times New Roman" w:hAnsi="Times New Roman"/>
            <w:b w:val="false"/>
            <w:i w:val="false"/>
            <w:color w:val="000000"/>
            <w:sz w:val="22"/>
          </w:rPr>
          <w:t>871—23.24</w:t>
        </w:r>
      </w:hyperlink>
      <w:r>
        <w:rPr>
          <w:rFonts w:ascii="Times New Roman" w:hAnsi="Times New Roman"/>
          <w:b w:val="false"/>
          <w:i w:val="false"/>
          <w:color w:val="000000"/>
          <w:sz w:val="22"/>
        </w:rPr>
        <w:t>(96)).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23.13(2)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As used in this rule unless the context clearly indicates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 xml:space="preserve">means any officer, board, department, division, commission or other authority charged with the administration of the unemployment compensation law of a participating jurisdiction.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“Interested jurisdiction” </w:t>
      </w:r>
      <w:r>
        <w:rPr>
          <w:rFonts w:ascii="Times New Roman" w:hAnsi="Times New Roman"/>
          <w:b w:val="false"/>
          <w:i w:val="false"/>
          <w:color w:val="000000"/>
          <w:sz w:val="22"/>
        </w:rPr>
        <w:t xml:space="preserve">means any participating jurisdiction to which an election submitted under this rule is sent for its approval, and “interested agency” means the agency of such jurisdiction.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“Jurisdiction” </w:t>
      </w:r>
      <w:r>
        <w:rPr>
          <w:rFonts w:ascii="Times New Roman" w:hAnsi="Times New Roman"/>
          <w:b w:val="false"/>
          <w:i w:val="false"/>
          <w:color w:val="000000"/>
          <w:sz w:val="22"/>
        </w:rPr>
        <w:t>means any state of the United States, the District of Columbia, Puerto Rico, or, with respect to the federal government, the coverage of any federal unemployment compensation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“Participating jurisdiction” </w:t>
      </w:r>
      <w:r>
        <w:rPr>
          <w:rFonts w:ascii="Times New Roman" w:hAnsi="Times New Roman"/>
          <w:b w:val="false"/>
          <w:i w:val="false"/>
          <w:color w:val="000000"/>
          <w:sz w:val="22"/>
        </w:rPr>
        <w:t>means a jurisdiction whose administrative agency has subscribed to the arrangement and whose adherence thereto has not terminated.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23.13(3)</w:t>
      </w:r>
      <w:r>
        <w:rPr>
          <w:rFonts w:ascii="Times New Roman" w:hAnsi="Times New Roman"/>
          <w:b w:val="false"/>
          <w:i w:val="false"/>
          <w:color w:val="000000"/>
          <w:sz w:val="22"/>
        </w:rPr>
        <w:t> </w:t>
      </w:r>
      <w:r>
        <w:rPr>
          <w:rFonts w:ascii="Times New Roman" w:hAnsi="Times New Roman"/>
          <w:b w:val="false"/>
          <w:i/>
          <w:color w:val="000000"/>
          <w:sz w:val="22"/>
        </w:rPr>
        <w:t xml:space="preserve">Submission and approval of coverage elections under the interstate reciprocal coverage arrangement.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employing unit may file an election to cover under the law of a single participating jurisdiction all of the services performed for the employing unit by any individual who customarily works for the employing unit in more than one participating jurisdiction. Such an election may be filed, with respect to an individual, with any participating jurisdiction in which: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part of the individual’s services are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individual resides;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employing unit maintains a place of business to which the individual’s services bear a reasonable relation.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agency of the elected jurisdiction (thus selected and determined) shall initially approve or disapprove the election. If such agency approves the election, it shall forward a copy thereof to the agency of each other participating jurisdiction specified thereon, under whose unemployment compensation law the individual or individuals in question might, in the absence of such election, be covered. Each such interested agency shall approve or disapprove the election, as promptly as practicable, and notify the agency of the elected jurisdiction accordingly. In case its law so requires, any such interested agency may, before taking such action, require from the electing employing unit satisfactory evidence that the affected employees have been notified of and have acquiesced in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agency of the elected jurisdiction, or the agency of any interested jurisdiction, disapproves the election, the disapproving agency shall notify the elected jurisdiction and the electing employing unit of its action and of its reasons therefor.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Such an election is effective as to the elected jurisdiction only if approved by its agency and by one or more interested agencies. An election thus approved is effective, as to any interested agency, only if it is approved by such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 case any such election is approved only in part, or is disapproved by some of such agencies, the electing employing unit may withdraw its election within ten days after being notified of such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23.13(4)</w:t>
      </w:r>
      <w:r>
        <w:rPr>
          <w:rFonts w:ascii="Times New Roman" w:hAnsi="Times New Roman"/>
          <w:b w:val="false"/>
          <w:i w:val="false"/>
          <w:color w:val="000000"/>
          <w:sz w:val="22"/>
        </w:rPr>
        <w:t> </w:t>
      </w:r>
      <w:r>
        <w:rPr>
          <w:rFonts w:ascii="Times New Roman" w:hAnsi="Times New Roman"/>
          <w:b w:val="false"/>
          <w:i/>
          <w:color w:val="000000"/>
          <w:sz w:val="22"/>
        </w:rPr>
        <w:t xml:space="preserve">Effective period of election.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Commencement. </w:t>
      </w:r>
      <w:r>
        <w:rPr>
          <w:rFonts w:ascii="Times New Roman" w:hAnsi="Times New Roman"/>
          <w:b w:val="false"/>
          <w:i w:val="false"/>
          <w:color w:val="000000"/>
          <w:sz w:val="22"/>
        </w:rPr>
        <w:t>An election duly approved under this rule shall become effective at the beginning of the calendar quarter in which the election was submitted unless the election, as approved, specifies the beginning of a different calendar quarter. If the electing unit requests an earlier effective date than the beginning of the calendar quarter in which the election is submitted, such earlier date may be approved solely as to those interested jurisdictions in which the employer had no liability to pay contributions for the earlier period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Termination.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application of an election to any individual under this rule shall terminate if the agency of the elected jurisdiction finds that the nature of the services customarily performed by the individual for the electing unit has changed so that they are no longer customarily performed in more than one particular jurisdiction. Such termination becomes effective as of the close of the calendar quarter in which notice of such findings is mailed to all parties affected.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subparagraph </w:t>
      </w:r>
      <w:r>
        <w:rPr>
          <w:rFonts w:ascii="Times New Roman" w:hAnsi="Times New Roman"/>
          <w:b w:val="false"/>
          <w:i w:val="false"/>
          <w:color w:val="000000"/>
          <w:sz w:val="22"/>
        </w:rPr>
        <w:t>23.13(4)</w:t>
      </w:r>
      <w:r>
        <w:rPr>
          <w:rFonts w:ascii="Times New Roman" w:hAnsi="Times New Roman"/>
          <w:b w:val="false"/>
          <w:i/>
          <w:color w:val="000000"/>
          <w:sz w:val="22"/>
        </w:rPr>
        <w:t>“b”</w:t>
      </w:r>
      <w:r>
        <w:rPr>
          <w:rFonts w:ascii="Times New Roman" w:hAnsi="Times New Roman"/>
          <w:b w:val="false"/>
          <w:i w:val="false"/>
          <w:color w:val="000000"/>
          <w:sz w:val="22"/>
        </w:rPr>
        <w:t>(1), each election approved hereunder remains in effect through the close of the calendar year in which it is submitted and thereafter until the close of the calendar quarter in which the electing unit gives written notice of its termination to all affected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an election under this rule ceases to apply to any individual, under subparagraph </w:t>
      </w:r>
      <w:r>
        <w:rPr>
          <w:rFonts w:ascii="Times New Roman" w:hAnsi="Times New Roman"/>
          <w:b w:val="false"/>
          <w:i w:val="false"/>
          <w:color w:val="000000"/>
          <w:sz w:val="22"/>
        </w:rPr>
        <w:t>23.13(4)</w:t>
      </w:r>
      <w:r>
        <w:rPr>
          <w:rFonts w:ascii="Times New Roman" w:hAnsi="Times New Roman"/>
          <w:b w:val="false"/>
          <w:i/>
          <w:color w:val="000000"/>
          <w:sz w:val="22"/>
        </w:rPr>
        <w:t>“b”</w:t>
      </w:r>
      <w:r>
        <w:rPr>
          <w:rFonts w:ascii="Times New Roman" w:hAnsi="Times New Roman"/>
          <w:b w:val="false"/>
          <w:i w:val="false"/>
          <w:color w:val="000000"/>
          <w:sz w:val="22"/>
        </w:rPr>
        <w:t xml:space="preserve">(1) or </w:t>
      </w:r>
      <w:r>
        <w:rPr>
          <w:rFonts w:ascii="Times New Roman" w:hAnsi="Times New Roman"/>
          <w:b w:val="false"/>
          <w:i w:val="false"/>
          <w:color w:val="000000"/>
          <w:sz w:val="22"/>
        </w:rPr>
        <w:t>23.13(4)</w:t>
      </w:r>
      <w:r>
        <w:rPr>
          <w:rFonts w:ascii="Times New Roman" w:hAnsi="Times New Roman"/>
          <w:b w:val="false"/>
          <w:i/>
          <w:color w:val="000000"/>
          <w:sz w:val="22"/>
        </w:rPr>
        <w:t>“b”</w:t>
      </w:r>
      <w:r>
        <w:rPr>
          <w:rFonts w:ascii="Times New Roman" w:hAnsi="Times New Roman"/>
          <w:b w:val="false"/>
          <w:i w:val="false"/>
          <w:color w:val="000000"/>
          <w:sz w:val="22"/>
        </w:rPr>
        <w:t>(2), the electing unit shall notify the affected individual accordingly.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23.13(5)</w:t>
      </w:r>
      <w:r>
        <w:rPr>
          <w:rFonts w:ascii="Times New Roman" w:hAnsi="Times New Roman"/>
          <w:b w:val="false"/>
          <w:i w:val="false"/>
          <w:color w:val="000000"/>
          <w:sz w:val="22"/>
        </w:rPr>
        <w:t> </w:t>
      </w:r>
      <w:r>
        <w:rPr>
          <w:rFonts w:ascii="Times New Roman" w:hAnsi="Times New Roman"/>
          <w:b w:val="false"/>
          <w:i/>
          <w:color w:val="000000"/>
          <w:sz w:val="22"/>
        </w:rPr>
        <w:t xml:space="preserve">Reports and notices by the electing unit.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electing unit shall promptly notify each individual affected by its approved election and furnish the elected agency a copy of such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Whenever an individual covered by an election under this rule is separated from employment, the electing unit shall again notify the individual forthwith as to the jurisdiction under whose unemployment compensation law the individual’s services have been covered. If at the time of termination the individual is not located in the elected jurisdiction, the electing unit shall notify the individual as to the procedure for filing interstate benefit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electing unit shall immediately report to the elected jurisdiction any change that occurs in the conditions of employment pertinent to its election, such as cases where an individual’s services for the employer cease to be customarily performed in more than one participating jurisdiction or where a change in the work assigned to an individual requires such individual to perform services in a new participating jurisdiction.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1">
        <w:r>
          <w:rPr>
            <w:rStyle w:val="Hyperlink"/>
            <w:rFonts w:ascii="Times New Roman" w:hAnsi="Times New Roman"/>
            <w:b w:val="false"/>
            <w:i w:val="false"/>
            <w:color w:val="000000"/>
            <w:sz w:val="22"/>
          </w:rPr>
          <w:t>96.20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871—23.14</w:t>
      </w:r>
      <w:r>
        <w:rPr>
          <w:rFonts w:ascii="Times New Roman" w:hAnsi="Times New Roman"/>
          <w:b/>
          <w:i w:val="false"/>
          <w:color w:val="000000"/>
          <w:sz w:val="22"/>
        </w:rPr>
        <w:t xml:space="preserve">(96) </w:t>
      </w:r>
      <w:r>
        <w:rPr>
          <w:rFonts w:ascii="Times New Roman" w:hAnsi="Times New Roman"/>
          <w:b/>
          <w:i w:val="false"/>
          <w:color w:val="000000"/>
          <w:sz w:val="22"/>
        </w:rPr>
        <w:t xml:space="preserve">Elective coverage of excluded services. </w:t>
      </w:r>
      <w:r>
        <w:rPr>
          <w:rFonts w:ascii="Times New Roman" w:hAnsi="Times New Roman"/>
          <w:b w:val="false"/>
          <w:i w:val="false"/>
          <w:color w:val="000000"/>
          <w:sz w:val="22"/>
        </w:rPr>
        <w:t>An employing unit having services performed for it that are not subject to the compulsory coverage provisions of the Act may file an application for voluntary election to become an employer under the law or to extend its coverage to individuals performing services that do not constitute employment as defined in the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23.14(1)</w:t>
      </w:r>
      <w:r>
        <w:rPr>
          <w:rFonts w:ascii="Times New Roman" w:hAnsi="Times New Roman"/>
          <w:b w:val="false"/>
          <w:i w:val="false"/>
          <w:color w:val="000000"/>
          <w:sz w:val="22"/>
        </w:rPr>
        <w:t> </w:t>
      </w:r>
      <w:r>
        <w:rPr>
          <w:rFonts w:ascii="Times New Roman" w:hAnsi="Times New Roman"/>
          <w:b w:val="false"/>
          <w:i w:val="false"/>
          <w:color w:val="000000"/>
          <w:sz w:val="22"/>
        </w:rPr>
        <w:t xml:space="preserve">In no case shall an elective coverage agreement under Iowa Code section </w:t>
      </w:r>
      <w:hyperlink r:id="rId42">
        <w:r>
          <w:rPr>
            <w:rStyle w:val="Hyperlink"/>
            <w:rFonts w:ascii="Times New Roman" w:hAnsi="Times New Roman"/>
            <w:b w:val="false"/>
            <w:i w:val="false"/>
            <w:color w:val="000000"/>
            <w:sz w:val="22"/>
          </w:rPr>
          <w:t>96.8(3)</w:t>
        </w:r>
      </w:hyperlink>
      <w:r>
        <w:rPr>
          <w:rFonts w:ascii="Times New Roman" w:hAnsi="Times New Roman"/>
          <w:b w:val="false"/>
          <w:i w:val="false"/>
          <w:color w:val="000000"/>
          <w:sz w:val="22"/>
        </w:rPr>
        <w:t xml:space="preserve"> be approved unless and until it has been established that the employing unit making application for elective coverage is normally and continuously engaged in a regular trade, business or occupation.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23.14(2)</w:t>
      </w:r>
      <w:r>
        <w:rPr>
          <w:rFonts w:ascii="Times New Roman" w:hAnsi="Times New Roman"/>
          <w:b w:val="false"/>
          <w:i w:val="false"/>
          <w:color w:val="000000"/>
          <w:sz w:val="22"/>
        </w:rPr>
        <w:t> </w:t>
      </w:r>
      <w:r>
        <w:rPr>
          <w:rFonts w:ascii="Times New Roman" w:hAnsi="Times New Roman"/>
          <w:b w:val="false"/>
          <w:i w:val="false"/>
          <w:color w:val="000000"/>
          <w:sz w:val="22"/>
        </w:rPr>
        <w:t>An application for elective coverage shall be disapproved if the department finds that the employing unit at the time of making the application was insolvent or expected to discontinue business for any reason within one year from the date the application is filed, or that the employing unit is not normally and continuously engaged in a regular trade, business or occupation.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on its own motion, request a written statement as to why an employing unit wishes to file an election to become a subject employer as provided for in Iowa Code section </w:t>
      </w:r>
      <w:hyperlink r:id="rId43">
        <w:r>
          <w:rPr>
            <w:rStyle w:val="Hyperlink"/>
            <w:rFonts w:ascii="Times New Roman" w:hAnsi="Times New Roman"/>
            <w:b w:val="false"/>
            <w:i w:val="false"/>
            <w:color w:val="000000"/>
            <w:sz w:val="22"/>
          </w:rPr>
          <w:t>96.8(3)</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may request evidence of financial stability.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23.14(4)</w:t>
      </w:r>
      <w:r>
        <w:rPr>
          <w:rFonts w:ascii="Times New Roman" w:hAnsi="Times New Roman"/>
          <w:b w:val="false"/>
          <w:i w:val="false"/>
          <w:color w:val="000000"/>
          <w:sz w:val="22"/>
        </w:rPr>
        <w:t> </w:t>
      </w:r>
      <w:r>
        <w:rPr>
          <w:rFonts w:ascii="Times New Roman" w:hAnsi="Times New Roman"/>
          <w:b w:val="false"/>
          <w:i w:val="false"/>
          <w:color w:val="000000"/>
          <w:sz w:val="22"/>
        </w:rPr>
        <w:t>Any written election for a period prior to the date of filing shall become binding upon approval by the department, and notification of the approval shall be forwarded to the employer. If for any reason the department does not approve such voluntary election, the employing unit shall be notified of the reasons why such approval was withheld.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23.14(5)</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voluntary election is the date on which the individual or individuals with noncovered wages first elect to have covered wages.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23.14(6)</w:t>
      </w:r>
      <w:r>
        <w:rPr>
          <w:rFonts w:ascii="Times New Roman" w:hAnsi="Times New Roman"/>
          <w:b w:val="false"/>
          <w:i w:val="false"/>
          <w:color w:val="000000"/>
          <w:sz w:val="22"/>
        </w:rPr>
        <w:t> </w:t>
      </w:r>
      <w:r>
        <w:rPr>
          <w:rFonts w:ascii="Times New Roman" w:hAnsi="Times New Roman"/>
          <w:b w:val="false"/>
          <w:i w:val="false"/>
          <w:color w:val="000000"/>
          <w:sz w:val="22"/>
        </w:rPr>
        <w:t>Effect of election approval. The first contribution payment of any employing unit that elects to become a covered employer shall become due and shall be paid on or before the due date of the reporting period during which the conditions of becoming a covered employer by election are satisfied, and shall include employer contributions with respect to all wages paid on and after the date stated in such approval (as of which such employing unit becomes a covered employer), up to and including the last pay period in the reporting period in which the conditions of becoming a covered employer by election are satisfied.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4">
        <w:r>
          <w:rPr>
            <w:rStyle w:val="Hyperlink"/>
            <w:rFonts w:ascii="Times New Roman" w:hAnsi="Times New Roman"/>
            <w:b w:val="false"/>
            <w:i w:val="false"/>
            <w:color w:val="000000"/>
            <w:sz w:val="22"/>
          </w:rPr>
          <w:t>96.8(3)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871—23.15</w:t>
      </w:r>
      <w:r>
        <w:rPr>
          <w:rFonts w:ascii="Times New Roman" w:hAnsi="Times New Roman"/>
          <w:b w:val="false"/>
          <w:i w:val="false"/>
          <w:color w:val="000000"/>
          <w:sz w:val="22"/>
        </w:rPr>
        <w:t xml:space="preserve"> to </w:t>
      </w:r>
      <w:r>
        <w:rPr>
          <w:rFonts w:ascii="Times New Roman" w:hAnsi="Times New Roman"/>
          <w:b/>
          <w:i w:val="false"/>
          <w:color w:val="000000"/>
          <w:sz w:val="22"/>
        </w:rPr>
        <w:t>23.17</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871—23.18</w:t>
      </w:r>
      <w:r>
        <w:rPr>
          <w:rFonts w:ascii="Times New Roman" w:hAnsi="Times New Roman"/>
          <w:b/>
          <w:i w:val="false"/>
          <w:color w:val="000000"/>
          <w:sz w:val="22"/>
        </w:rPr>
        <w:t xml:space="preserve">(96) </w:t>
      </w:r>
      <w:r>
        <w:rPr>
          <w:rFonts w:ascii="Times New Roman" w:hAnsi="Times New Roman"/>
          <w:b/>
          <w:i w:val="false"/>
          <w:color w:val="000000"/>
          <w:sz w:val="22"/>
        </w:rPr>
        <w:t xml:space="preserve">Nature of relationship between employer-employee.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23.18(1)</w:t>
      </w:r>
      <w:r>
        <w:rPr>
          <w:rFonts w:ascii="Times New Roman" w:hAnsi="Times New Roman"/>
          <w:b w:val="false"/>
          <w:i w:val="false"/>
          <w:color w:val="000000"/>
          <w:sz w:val="22"/>
        </w:rPr>
        <w:t> </w:t>
      </w:r>
      <w:r>
        <w:rPr>
          <w:rFonts w:ascii="Times New Roman" w:hAnsi="Times New Roman"/>
          <w:b w:val="false"/>
          <w:i/>
          <w:color w:val="000000"/>
          <w:sz w:val="22"/>
        </w:rPr>
        <w:t xml:space="preserve">Commission salespersons and insurance solicitors. </w:t>
      </w:r>
      <w:r>
        <w:rPr>
          <w:rFonts w:ascii="Times New Roman" w:hAnsi="Times New Roman"/>
          <w:b w:val="false"/>
          <w:i w:val="false"/>
          <w:color w:val="000000"/>
          <w:sz w:val="22"/>
        </w:rPr>
        <w:t>Commission salespersons are considered employees and wages are subject to unemployment tax unless there is a department-approved independent contractor agreement in 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23.18(2)</w:t>
      </w:r>
      <w:r>
        <w:rPr>
          <w:rFonts w:ascii="Times New Roman" w:hAnsi="Times New Roman"/>
          <w:b w:val="false"/>
          <w:i w:val="false"/>
          <w:color w:val="000000"/>
          <w:sz w:val="22"/>
        </w:rPr>
        <w:t> </w:t>
      </w:r>
      <w:r>
        <w:rPr>
          <w:rFonts w:ascii="Times New Roman" w:hAnsi="Times New Roman"/>
          <w:b w:val="false"/>
          <w:i/>
          <w:color w:val="000000"/>
          <w:sz w:val="22"/>
        </w:rPr>
        <w:t xml:space="preserve">Directors and officers of a corporation. </w:t>
      </w:r>
      <w:r>
        <w:rPr>
          <w:rFonts w:ascii="Times New Roman" w:hAnsi="Times New Roman"/>
          <w:b w:val="false"/>
          <w:i w:val="false"/>
          <w:color w:val="000000"/>
          <w:sz w:val="22"/>
        </w:rPr>
        <w:t>Directors who receive a reasonable fee for attending meetings and who perform no other services are not employees of the corporation. Officers of associations and corporations who perform services for the associations or corporations are employees.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23.18(3)</w:t>
      </w:r>
      <w:r>
        <w:rPr>
          <w:rFonts w:ascii="Times New Roman" w:hAnsi="Times New Roman"/>
          <w:b w:val="false"/>
          <w:i w:val="false"/>
          <w:color w:val="000000"/>
          <w:sz w:val="22"/>
        </w:rPr>
        <w:t> </w:t>
      </w:r>
      <w:r>
        <w:rPr>
          <w:rFonts w:ascii="Times New Roman" w:hAnsi="Times New Roman"/>
          <w:b w:val="false"/>
          <w:i/>
          <w:color w:val="000000"/>
          <w:sz w:val="22"/>
        </w:rPr>
        <w:t xml:space="preserve">Members of family.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performed by an individual in the employ of a son, daughter, or spouse, and services performed by a child under the age of 18 in the employ of a father or mother are exempt from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Services performed by a foster parent in the employ of a foster child, by a stepparent in the employ of a stepchild, and by a child under the age of 18 years in the employ of a stepparent or foster parents are exempt from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performed by a son or daughter over the age of 18 as an approved provider for consumer-directed care in the employ of a father or mother who is an approved consumer of a home- and community-based waiver services program are exempt from the provisions of Iowa Code chapter </w:t>
      </w:r>
      <w:hyperlink r:id="rId45">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23.18(4)</w:t>
      </w:r>
      <w:r>
        <w:rPr>
          <w:rFonts w:ascii="Times New Roman" w:hAnsi="Times New Roman"/>
          <w:b w:val="false"/>
          <w:i w:val="false"/>
          <w:color w:val="000000"/>
          <w:sz w:val="22"/>
        </w:rPr>
        <w:t> </w:t>
      </w:r>
      <w:r>
        <w:rPr>
          <w:rFonts w:ascii="Times New Roman" w:hAnsi="Times New Roman"/>
          <w:b w:val="false"/>
          <w:i/>
          <w:color w:val="000000"/>
          <w:sz w:val="22"/>
        </w:rPr>
        <w:t xml:space="preserve">Aliens. </w:t>
      </w:r>
      <w:r>
        <w:rPr>
          <w:rFonts w:ascii="Times New Roman" w:hAnsi="Times New Roman"/>
          <w:b w:val="false"/>
          <w:i w:val="false"/>
          <w:color w:val="000000"/>
          <w:sz w:val="22"/>
        </w:rPr>
        <w:t>This chapter makes no distinction between citizens and lawful aliens. Lawful aliens in nonexempt employment are counted in determining whether the employer is subject to the Act and are covered by the contribution and benefit provision.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23.18(5)</w:t>
      </w:r>
      <w:r>
        <w:rPr>
          <w:rFonts w:ascii="Times New Roman" w:hAnsi="Times New Roman"/>
          <w:b w:val="false"/>
          <w:i w:val="false"/>
          <w:color w:val="000000"/>
          <w:sz w:val="22"/>
        </w:rPr>
        <w:t> </w:t>
      </w:r>
      <w:r>
        <w:rPr>
          <w:rFonts w:ascii="Times New Roman" w:hAnsi="Times New Roman"/>
          <w:b w:val="false"/>
          <w:i/>
          <w:color w:val="000000"/>
          <w:sz w:val="22"/>
        </w:rPr>
        <w:t xml:space="preserve">Aged and minor employees. </w:t>
      </w:r>
      <w:r>
        <w:rPr>
          <w:rFonts w:ascii="Times New Roman" w:hAnsi="Times New Roman"/>
          <w:b w:val="false"/>
          <w:i w:val="false"/>
          <w:color w:val="000000"/>
          <w:sz w:val="22"/>
        </w:rPr>
        <w:t>Contributions are payable upon services rendered by an employee regardless of the age of the employee.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23.18(6)</w:t>
      </w:r>
      <w:r>
        <w:rPr>
          <w:rFonts w:ascii="Times New Roman" w:hAnsi="Times New Roman"/>
          <w:b w:val="false"/>
          <w:i w:val="false"/>
          <w:color w:val="000000"/>
          <w:sz w:val="22"/>
        </w:rPr>
        <w:t> </w:t>
      </w:r>
      <w:r>
        <w:rPr>
          <w:rFonts w:ascii="Times New Roman" w:hAnsi="Times New Roman"/>
          <w:b w:val="false"/>
          <w:i/>
          <w:color w:val="000000"/>
          <w:sz w:val="22"/>
        </w:rPr>
        <w:t xml:space="preserve">Family employment. </w:t>
      </w:r>
      <w:r>
        <w:rPr>
          <w:rFonts w:ascii="Times New Roman" w:hAnsi="Times New Roman"/>
          <w:b w:val="false"/>
          <w:i w:val="false"/>
          <w:color w:val="000000"/>
          <w:sz w:val="22"/>
        </w:rPr>
        <w:t>Parents, spouse and minor children under the age of 18 years working for an individual proprietor are exempt from the provisions of this chapter. If such individuals are employed by a partnership, the exemption only applies if such a relationship exists between the worker and each member of the partnership. This exemption is not applicable to corporations or to limited liability companies.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23.18(7)</w:t>
      </w:r>
      <w:r>
        <w:rPr>
          <w:rFonts w:ascii="Times New Roman" w:hAnsi="Times New Roman"/>
          <w:b w:val="false"/>
          <w:i w:val="false"/>
          <w:color w:val="000000"/>
          <w:sz w:val="22"/>
        </w:rPr>
        <w:t> </w:t>
      </w:r>
      <w:r>
        <w:rPr>
          <w:rFonts w:ascii="Times New Roman" w:hAnsi="Times New Roman"/>
          <w:b w:val="false"/>
          <w:i/>
          <w:color w:val="000000"/>
          <w:sz w:val="22"/>
        </w:rPr>
        <w:t xml:space="preserve">Partners. </w:t>
      </w:r>
      <w:r>
        <w:rPr>
          <w:rFonts w:ascii="Times New Roman" w:hAnsi="Times New Roman"/>
          <w:b w:val="false"/>
          <w:i w:val="false"/>
          <w:color w:val="000000"/>
          <w:sz w:val="22"/>
        </w:rPr>
        <w:t>Bona fide partners are not considered employees even though they receive salaries.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23.18(8)</w:t>
      </w:r>
      <w:r>
        <w:rPr>
          <w:rFonts w:ascii="Times New Roman" w:hAnsi="Times New Roman"/>
          <w:b w:val="false"/>
          <w:i w:val="false"/>
          <w:color w:val="000000"/>
          <w:sz w:val="22"/>
        </w:rPr>
        <w:t> </w:t>
      </w:r>
      <w:r>
        <w:rPr>
          <w:rFonts w:ascii="Times New Roman" w:hAnsi="Times New Roman"/>
          <w:b w:val="false"/>
          <w:i/>
          <w:color w:val="000000"/>
          <w:sz w:val="22"/>
        </w:rPr>
        <w:t xml:space="preserve">Apprentices-clerks. </w:t>
      </w:r>
      <w:r>
        <w:rPr>
          <w:rFonts w:ascii="Times New Roman" w:hAnsi="Times New Roman"/>
          <w:b w:val="false"/>
          <w:i w:val="false"/>
          <w:color w:val="000000"/>
          <w:sz w:val="22"/>
        </w:rPr>
        <w:t>This chapter makes no exceptions for persons serving a clerkship or other form of apprenticeship.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23.18(9)</w:t>
      </w:r>
      <w:r>
        <w:rPr>
          <w:rFonts w:ascii="Times New Roman" w:hAnsi="Times New Roman"/>
          <w:b w:val="false"/>
          <w:i w:val="false"/>
          <w:color w:val="000000"/>
          <w:sz w:val="22"/>
        </w:rPr>
        <w:t> </w:t>
      </w:r>
      <w:r>
        <w:rPr>
          <w:rFonts w:ascii="Times New Roman" w:hAnsi="Times New Roman"/>
          <w:b w:val="false"/>
          <w:i/>
          <w:color w:val="000000"/>
          <w:sz w:val="22"/>
        </w:rPr>
        <w:t xml:space="preserve">Members of a limited liability company. </w:t>
      </w:r>
      <w:r>
        <w:rPr>
          <w:rFonts w:ascii="Times New Roman" w:hAnsi="Times New Roman"/>
          <w:b w:val="false"/>
          <w:i w:val="false"/>
          <w:color w:val="000000"/>
          <w:sz w:val="22"/>
        </w:rPr>
        <w:t>Members of a limited liability company that perform services other than for the purpose of acquiring membership in the limited liability company are employees.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6">
        <w:r>
          <w:rPr>
            <w:rStyle w:val="Hyperlink"/>
            <w:rFonts w:ascii="Times New Roman" w:hAnsi="Times New Roman"/>
            <w:b w:val="false"/>
            <w:i w:val="false"/>
            <w:color w:val="000000"/>
            <w:sz w:val="22"/>
          </w:rPr>
          <w:t>96.1A(16)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871—23.19</w:t>
      </w:r>
      <w:r>
        <w:rPr>
          <w:rFonts w:ascii="Times New Roman" w:hAnsi="Times New Roman"/>
          <w:b/>
          <w:i w:val="false"/>
          <w:color w:val="000000"/>
          <w:sz w:val="22"/>
        </w:rPr>
        <w:t xml:space="preserve">(96) </w:t>
      </w:r>
      <w:r>
        <w:rPr>
          <w:rFonts w:ascii="Times New Roman" w:hAnsi="Times New Roman"/>
          <w:b/>
          <w:i w:val="false"/>
          <w:color w:val="000000"/>
          <w:sz w:val="22"/>
        </w:rPr>
        <w:t xml:space="preserve">Employer-employee and independent contractor relationship.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23.19(1)</w:t>
      </w:r>
      <w:r>
        <w:rPr>
          <w:rFonts w:ascii="Times New Roman" w:hAnsi="Times New Roman"/>
          <w:b w:val="false"/>
          <w:i w:val="false"/>
          <w:color w:val="000000"/>
          <w:sz w:val="22"/>
        </w:rPr>
        <w:t> </w:t>
      </w:r>
      <w:r>
        <w:rPr>
          <w:rFonts w:ascii="Times New Roman" w:hAnsi="Times New Roman"/>
          <w:b w:val="false"/>
          <w:i w:val="false"/>
          <w:color w:val="000000"/>
          <w:sz w:val="22"/>
        </w:rPr>
        <w:t>The relationship of employer and employee exists when the person for whom services are performed has the right to control and direct the individual who performs the services, not only as to the result to be accomplished by the work but also as to the details and means by which that result is accomplished. An employee is subject to the will and control of the employer not only as to what shall be done but how it shall be done. It is not necessary that the employer actually direct or control the manner in which the services are performed; it is sufficient if the employer has the right to do so. The right to discharge or terminate a relationship is also an important factor indicating that the person possessing that right is an employer. Where such discharge or termination will constitute a breach of contract and the discharging person may be liable for damages, the circumstances indicate a relationship of independent contractor. Other factors characteristic of an employer, but not necessarily present in every case, are the furnishing of tools, equipment, material and a place to work to the individual who performs the services. In general, if an individual is subject to the control or direction of another merely as to the result to be accomplished by the work and not as to the means and methods for accomplishing the result, that individual is an independent contractor. An individual performing services as an independent contractor is not as to such services an employee under the usual common law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23.19(2)</w:t>
      </w:r>
      <w:r>
        <w:rPr>
          <w:rFonts w:ascii="Times New Roman" w:hAnsi="Times New Roman"/>
          <w:b w:val="false"/>
          <w:i w:val="false"/>
          <w:color w:val="000000"/>
          <w:sz w:val="22"/>
        </w:rPr>
        <w:t> </w:t>
      </w:r>
      <w:r>
        <w:rPr>
          <w:rFonts w:ascii="Times New Roman" w:hAnsi="Times New Roman"/>
          <w:b w:val="false"/>
          <w:i w:val="false"/>
          <w:color w:val="000000"/>
          <w:sz w:val="22"/>
        </w:rPr>
        <w:t>The nature of the contract undertaken by one for the performance of a certain type, kind, or piece of work at a fixed price is a factor to be considered in determining the status of an independent contractor. In general, employees perform the work continuously and primarily their labor is purchased, whereas the independent contractor undertakes the performance of a specific job. Independent contractors follow a distinct trade, occupation, business, or profession in which they offer their services to the public to be performed without the control of those seeking the benefit of their training or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23.19(3)</w:t>
      </w:r>
      <w:r>
        <w:rPr>
          <w:rFonts w:ascii="Times New Roman" w:hAnsi="Times New Roman"/>
          <w:b w:val="false"/>
          <w:i w:val="false"/>
          <w:color w:val="000000"/>
          <w:sz w:val="22"/>
        </w:rPr>
        <w:t> </w:t>
      </w:r>
      <w:r>
        <w:rPr>
          <w:rFonts w:ascii="Times New Roman" w:hAnsi="Times New Roman"/>
          <w:b w:val="false"/>
          <w:i w:val="false"/>
          <w:color w:val="000000"/>
          <w:sz w:val="22"/>
        </w:rPr>
        <w:t>Independent contractors can make a profit or loss. They are more likely to have unreimbursed expenses than employees and to have fixed, ongoing costs regardless of whether work is currently being performed. Independent contractors often have significant investment in real or personal property that they use in performing services for someone else.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23.19(4)</w:t>
      </w:r>
      <w:r>
        <w:rPr>
          <w:rFonts w:ascii="Times New Roman" w:hAnsi="Times New Roman"/>
          <w:b w:val="false"/>
          <w:i w:val="false"/>
          <w:color w:val="000000"/>
          <w:sz w:val="22"/>
        </w:rPr>
        <w:t> </w:t>
      </w:r>
      <w:r>
        <w:rPr>
          <w:rFonts w:ascii="Times New Roman" w:hAnsi="Times New Roman"/>
          <w:b w:val="false"/>
          <w:i w:val="false"/>
          <w:color w:val="000000"/>
          <w:sz w:val="22"/>
        </w:rPr>
        <w:t>Employees are usually paid a fixed wage computed on a weekly, hourly or piece basis while an independent contractor is usually paid one sum for the entire work, whether it be paid in the form of a lump sum or installments. The employer-employee relationship may exist regardless of the form, measurement, designation or manner of remuneration.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23.19(5)</w:t>
      </w:r>
      <w:r>
        <w:rPr>
          <w:rFonts w:ascii="Times New Roman" w:hAnsi="Times New Roman"/>
          <w:b w:val="false"/>
          <w:i w:val="false"/>
          <w:color w:val="000000"/>
          <w:sz w:val="22"/>
        </w:rPr>
        <w:t> </w:t>
      </w:r>
      <w:r>
        <w:rPr>
          <w:rFonts w:ascii="Times New Roman" w:hAnsi="Times New Roman"/>
          <w:b w:val="false"/>
          <w:i w:val="false"/>
          <w:color w:val="000000"/>
          <w:sz w:val="22"/>
        </w:rPr>
        <w:t>The right to employ assistants with the exclusive right to supervise their activity and completely delegate the work is an indication of an independent contractor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23.19(6)</w:t>
      </w:r>
      <w:r>
        <w:rPr>
          <w:rFonts w:ascii="Times New Roman" w:hAnsi="Times New Roman"/>
          <w:b w:val="false"/>
          <w:i w:val="false"/>
          <w:color w:val="000000"/>
          <w:sz w:val="22"/>
        </w:rPr>
        <w:t> </w:t>
      </w:r>
      <w:r>
        <w:rPr>
          <w:rFonts w:ascii="Times New Roman" w:hAnsi="Times New Roman"/>
          <w:b w:val="false"/>
          <w:i w:val="false"/>
          <w:color w:val="000000"/>
          <w:sz w:val="22"/>
        </w:rPr>
        <w:t>Services performed by an individual for remuneration are presumed to be employment unless and until it is shown to the satisfaction of the department that the individual is in fact an independent contractor. Whether the relationship of employer and employee exists under the usual common law rules will be determined upon an examination of the particular facts of each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23.19(7)</w:t>
      </w:r>
      <w:r>
        <w:rPr>
          <w:rFonts w:ascii="Times New Roman" w:hAnsi="Times New Roman"/>
          <w:b w:val="false"/>
          <w:i w:val="false"/>
          <w:color w:val="000000"/>
          <w:sz w:val="22"/>
        </w:rPr>
        <w:t> </w:t>
      </w:r>
      <w:r>
        <w:rPr>
          <w:rFonts w:ascii="Times New Roman" w:hAnsi="Times New Roman"/>
          <w:b w:val="false"/>
          <w:i w:val="false"/>
          <w:color w:val="000000"/>
          <w:sz w:val="22"/>
        </w:rPr>
        <w:t>If the relationship of employer and employee exists, the designation or description of the relationship by the parties as anything other than that of employer and employee is immaterial. Thus, if such relationship exists, it is of no consequence that the employee is designated as a partner, coadventurer, agent, independent contractor, or the like.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23.19(8)</w:t>
      </w:r>
      <w:r>
        <w:rPr>
          <w:rFonts w:ascii="Times New Roman" w:hAnsi="Times New Roman"/>
          <w:b w:val="false"/>
          <w:i w:val="false"/>
          <w:color w:val="000000"/>
          <w:sz w:val="22"/>
        </w:rPr>
        <w:t> </w:t>
      </w:r>
      <w:r>
        <w:rPr>
          <w:rFonts w:ascii="Times New Roman" w:hAnsi="Times New Roman"/>
          <w:b w:val="false"/>
          <w:i w:val="false"/>
          <w:color w:val="000000"/>
          <w:sz w:val="22"/>
        </w:rPr>
        <w:t>All classes or grades of employees are included within the relationship of employer and employee. For example, superintendents, managers and other supervisory personnel are employees.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7">
        <w:r>
          <w:rPr>
            <w:rStyle w:val="Hyperlink"/>
            <w:rFonts w:ascii="Times New Roman" w:hAnsi="Times New Roman"/>
            <w:b w:val="false"/>
            <w:i w:val="false"/>
            <w:color w:val="000000"/>
            <w:sz w:val="22"/>
          </w:rPr>
          <w:t>96.1A(16)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871—23.20</w:t>
      </w:r>
      <w:r>
        <w:rPr>
          <w:rFonts w:ascii="Times New Roman" w:hAnsi="Times New Roman"/>
          <w:b/>
          <w:i w:val="false"/>
          <w:color w:val="000000"/>
          <w:sz w:val="22"/>
        </w:rPr>
        <w:t xml:space="preserve">(96) </w:t>
      </w:r>
      <w:r>
        <w:rPr>
          <w:rFonts w:ascii="Times New Roman" w:hAnsi="Times New Roman"/>
          <w:b/>
          <w:i w:val="false"/>
          <w:color w:val="000000"/>
          <w:sz w:val="22"/>
        </w:rPr>
        <w:t xml:space="preserve">Employment—student and spouse of student. </w:t>
      </w:r>
      <w:r>
        <w:rPr>
          <w:rFonts w:ascii="Times New Roman" w:hAnsi="Times New Roman"/>
          <w:b w:val="false"/>
          <w:i w:val="false"/>
          <w:color w:val="000000"/>
          <w:sz w:val="22"/>
        </w:rPr>
        <w:t>Wages earned by a student who performs services in the employ of a school, college or university at which the student is enrolled and is regularly attending classes (either on a full-time or part-time basis) are not covered wages.</w:t>
      </w:r>
    </w:p>
    <w:p>
      <w:pPr>
        <w:spacing w:before="0" w:after="0"/>
        <w:ind w:left="120"/>
        <w:jc w:val="both"/>
      </w:pPr>
      <w:r>
        <w:rPr>
          <w:rFonts w:ascii="Times New Roman" w:hAnsi="Times New Roman"/>
          <w:b w:val="false"/>
          <w:i w:val="false"/>
          <w:color w:val="000000"/>
          <w:sz w:val="22"/>
        </w:rPr>
        <w:t>Wages earned by an individual who is a full-time employee for a school, college or university whose academic pursuit is unrelated to the full-time employment are covered wages.</w:t>
      </w:r>
    </w:p>
    <w:p>
      <w:pPr>
        <w:spacing w:before="0" w:after="0"/>
        <w:ind w:left="120"/>
        <w:jc w:val="both"/>
      </w:pPr>
      <w:r>
        <w:rPr>
          <w:rFonts w:ascii="Times New Roman" w:hAnsi="Times New Roman"/>
          <w:b w:val="false"/>
          <w:i w:val="false"/>
          <w:color w:val="000000"/>
          <w:sz w:val="22"/>
        </w:rPr>
        <w:t>Wages earned by the spouse of such a student in employment with the educational institution attended by the student are not covered wages if the employee-spouse is told prior to starting employment that the work is part of a program to provide financial assistance to the student and is not covered by unemployment insurance.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8">
        <w:r>
          <w:rPr>
            <w:rStyle w:val="Hyperlink"/>
            <w:rFonts w:ascii="Times New Roman" w:hAnsi="Times New Roman"/>
            <w:b w:val="false"/>
            <w:i w:val="false"/>
            <w:color w:val="000000"/>
            <w:sz w:val="22"/>
          </w:rPr>
          <w:t>96.1A(16)</w:t>
        </w:r>
      </w:hyperlink>
      <w:r>
        <w:rPr>
          <w:rFonts w:ascii="Times New Roman" w:hAnsi="Times New Roman"/>
          <w:b w:val="false"/>
          <w:i/>
          <w:color w:val="000000"/>
          <w:sz w:val="22"/>
        </w:rPr>
        <w:t>“g”</w:t>
      </w:r>
      <w:r>
        <w:rPr>
          <w:rFonts w:ascii="Times New Roman" w:hAnsi="Times New Roman"/>
          <w:b w:val="false"/>
          <w:i w:val="false"/>
          <w:color w:val="000000"/>
          <w:sz w:val="22"/>
        </w:rPr>
        <w:t>(6).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871—23.21</w:t>
      </w:r>
      <w:r>
        <w:rPr>
          <w:rFonts w:ascii="Times New Roman" w:hAnsi="Times New Roman"/>
          <w:b/>
          <w:i w:val="false"/>
          <w:color w:val="000000"/>
          <w:sz w:val="22"/>
        </w:rPr>
        <w:t xml:space="preserve">(96) </w:t>
      </w:r>
      <w:r>
        <w:rPr>
          <w:rFonts w:ascii="Times New Roman" w:hAnsi="Times New Roman"/>
          <w:b/>
          <w:i w:val="false"/>
          <w:color w:val="000000"/>
          <w:sz w:val="22"/>
        </w:rPr>
        <w:t xml:space="preserve">Excluded employment—student. </w:t>
      </w:r>
      <w:r>
        <w:rPr>
          <w:rFonts w:ascii="Times New Roman" w:hAnsi="Times New Roman"/>
          <w:b w:val="false"/>
          <w:i w:val="false"/>
          <w:color w:val="000000"/>
          <w:sz w:val="22"/>
        </w:rPr>
        <w:t>Wages earned by a student who is enrolled at a nonprofit or public educational institution under a program taken for credit that combines academic instruction with work experience are normally excluded from the definition of employment, provided that no work performed by such individual in excess of the hours called for in the contract between the school and the employer or performed in a period of time during which the institution is on a regularly scheduled vacation and for which such student receives no academic credit shall be excluded from said definition.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9">
        <w:r>
          <w:rPr>
            <w:rStyle w:val="Hyperlink"/>
            <w:rFonts w:ascii="Times New Roman" w:hAnsi="Times New Roman"/>
            <w:b w:val="false"/>
            <w:i w:val="false"/>
            <w:color w:val="000000"/>
            <w:sz w:val="22"/>
          </w:rPr>
          <w:t>96.1A(16)</w:t>
        </w:r>
      </w:hyperlink>
      <w:r>
        <w:rPr>
          <w:rFonts w:ascii="Times New Roman" w:hAnsi="Times New Roman"/>
          <w:b w:val="false"/>
          <w:i/>
          <w:color w:val="000000"/>
          <w:sz w:val="22"/>
        </w:rPr>
        <w:t>“g”</w:t>
      </w:r>
      <w:r>
        <w:rPr>
          <w:rFonts w:ascii="Times New Roman" w:hAnsi="Times New Roman"/>
          <w:b w:val="false"/>
          <w:i w:val="false"/>
          <w:color w:val="000000"/>
          <w:sz w:val="22"/>
        </w:rPr>
        <w:t>(6).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871—23.22</w:t>
      </w:r>
      <w:r>
        <w:rPr>
          <w:rFonts w:ascii="Times New Roman" w:hAnsi="Times New Roman"/>
          <w:b/>
          <w:i w:val="false"/>
          <w:color w:val="000000"/>
          <w:sz w:val="22"/>
        </w:rPr>
        <w:t xml:space="preserve">(96) </w:t>
      </w:r>
      <w:r>
        <w:rPr>
          <w:rFonts w:ascii="Times New Roman" w:hAnsi="Times New Roman"/>
          <w:b/>
          <w:i w:val="false"/>
          <w:color w:val="000000"/>
          <w:sz w:val="22"/>
        </w:rPr>
        <w:t xml:space="preserve">Employees of contractors and subcontractors.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23.22(1)</w:t>
      </w:r>
      <w:r>
        <w:rPr>
          <w:rFonts w:ascii="Times New Roman" w:hAnsi="Times New Roman"/>
          <w:b w:val="false"/>
          <w:i w:val="false"/>
          <w:color w:val="000000"/>
          <w:sz w:val="22"/>
        </w:rPr>
        <w:t> </w:t>
      </w:r>
      <w:r>
        <w:rPr>
          <w:rFonts w:ascii="Times New Roman" w:hAnsi="Times New Roman"/>
          <w:b w:val="false"/>
          <w:i w:val="false"/>
          <w:color w:val="000000"/>
          <w:sz w:val="22"/>
        </w:rPr>
        <w:t>If one employer contracts with another employing unit for any work that is part of the first employer’s usual business, the first employer is liable for any contributions based on wages paid by the second employing unit in connection with the work if the second employing unit is not liable to pay contributions.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23.22(2)</w:t>
      </w:r>
      <w:r>
        <w:rPr>
          <w:rFonts w:ascii="Times New Roman" w:hAnsi="Times New Roman"/>
          <w:b w:val="false"/>
          <w:i w:val="false"/>
          <w:color w:val="000000"/>
          <w:sz w:val="22"/>
        </w:rPr>
        <w:t> </w:t>
      </w:r>
      <w:r>
        <w:rPr>
          <w:rFonts w:ascii="Times New Roman" w:hAnsi="Times New Roman"/>
          <w:b w:val="false"/>
          <w:i w:val="false"/>
          <w:color w:val="000000"/>
          <w:sz w:val="22"/>
        </w:rPr>
        <w:t>Employees of the second contractor are counted as employees of the first contractor while performing services on the contract for the first contractor.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0">
        <w:r>
          <w:rPr>
            <w:rStyle w:val="Hyperlink"/>
            <w:rFonts w:ascii="Times New Roman" w:hAnsi="Times New Roman"/>
            <w:b w:val="false"/>
            <w:i w:val="false"/>
            <w:color w:val="000000"/>
            <w:sz w:val="22"/>
          </w:rPr>
          <w:t>96.1A(15)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871—23.23</w:t>
      </w:r>
      <w:r>
        <w:rPr>
          <w:rFonts w:ascii="Times New Roman" w:hAnsi="Times New Roman"/>
          <w:b/>
          <w:i w:val="false"/>
          <w:color w:val="000000"/>
          <w:sz w:val="22"/>
        </w:rPr>
        <w:t xml:space="preserve">(96) </w:t>
      </w:r>
      <w:r>
        <w:rPr>
          <w:rFonts w:ascii="Times New Roman" w:hAnsi="Times New Roman"/>
          <w:b/>
          <w:i w:val="false"/>
          <w:color w:val="000000"/>
          <w:sz w:val="22"/>
        </w:rPr>
        <w:t xml:space="preserve">Liability of affiliated employing units. </w:t>
      </w:r>
      <w:r>
        <w:rPr>
          <w:rFonts w:ascii="Times New Roman" w:hAnsi="Times New Roman"/>
          <w:b w:val="false"/>
          <w:i w:val="false"/>
          <w:color w:val="000000"/>
          <w:sz w:val="22"/>
        </w:rPr>
        <w:t>A nonliable employer shall be liable if the employer owns one or more employing units (or business units) and the combined employment has paid wages for service in employment in a calendar quarter in either the current or preceding year.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1">
        <w:r>
          <w:rPr>
            <w:rStyle w:val="Hyperlink"/>
            <w:rFonts w:ascii="Times New Roman" w:hAnsi="Times New Roman"/>
            <w:b w:val="false"/>
            <w:i w:val="false"/>
            <w:color w:val="000000"/>
            <w:sz w:val="22"/>
          </w:rPr>
          <w:t>96.1A(15)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871—23.24</w:t>
      </w:r>
      <w:r>
        <w:rPr>
          <w:rFonts w:ascii="Times New Roman" w:hAnsi="Times New Roman"/>
          <w:b/>
          <w:i w:val="false"/>
          <w:color w:val="000000"/>
          <w:sz w:val="22"/>
        </w:rPr>
        <w:t xml:space="preserve">(96) </w:t>
      </w:r>
      <w:r>
        <w:rPr>
          <w:rFonts w:ascii="Times New Roman" w:hAnsi="Times New Roman"/>
          <w:b/>
          <w:i w:val="false"/>
          <w:color w:val="000000"/>
          <w:sz w:val="22"/>
        </w:rPr>
        <w:t xml:space="preserve">Localization of employment—employees covered—exemption. </w:t>
      </w:r>
      <w:r>
        <w:rPr>
          <w:rFonts w:ascii="Times New Roman" w:hAnsi="Times New Roman"/>
          <w:b w:val="false"/>
          <w:i w:val="false"/>
          <w:color w:val="000000"/>
          <w:sz w:val="22"/>
        </w:rPr>
        <w:t>When workers perform services in more than one state, the department will review each case individually and make a determination whether wages are reportable to Iowa based on the following guidelines in sequence: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23.24(1)</w:t>
      </w:r>
      <w:r>
        <w:rPr>
          <w:rFonts w:ascii="Times New Roman" w:hAnsi="Times New Roman"/>
          <w:b w:val="false"/>
          <w:i w:val="false"/>
          <w:color w:val="000000"/>
          <w:sz w:val="22"/>
        </w:rPr>
        <w:t> </w:t>
      </w:r>
      <w:r>
        <w:rPr>
          <w:rFonts w:ascii="Times New Roman" w:hAnsi="Times New Roman"/>
          <w:b w:val="false"/>
          <w:i w:val="false"/>
          <w:color w:val="000000"/>
          <w:sz w:val="22"/>
        </w:rPr>
        <w:t>Services performed in only one state are considered localized in that state regardless of where the employer is located. The services do not have to cover the entire reporting period. The wages are reportable to the state where the services are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23.24(2)</w:t>
      </w:r>
      <w:r>
        <w:rPr>
          <w:rFonts w:ascii="Times New Roman" w:hAnsi="Times New Roman"/>
          <w:b w:val="false"/>
          <w:i w:val="false"/>
          <w:color w:val="000000"/>
          <w:sz w:val="22"/>
        </w:rPr>
        <w:t> </w:t>
      </w:r>
      <w:r>
        <w:rPr>
          <w:rFonts w:ascii="Times New Roman" w:hAnsi="Times New Roman"/>
          <w:b w:val="false"/>
          <w:i w:val="false"/>
          <w:color w:val="000000"/>
          <w:sz w:val="22"/>
        </w:rPr>
        <w:t>Where services are performed among two or more states in a reporting period, the base of operations is considered. The base of operations is the point from which the workers start and finish their work on a regular basis, and that is the state to which the wages are reportable. In this type of case, the department has the right to waive Iowa coverage to another jurisdiction (state of the base of operations) as long as the employee is properly covered by the other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23.24(3)</w:t>
      </w:r>
      <w:r>
        <w:rPr>
          <w:rFonts w:ascii="Times New Roman" w:hAnsi="Times New Roman"/>
          <w:b w:val="false"/>
          <w:i w:val="false"/>
          <w:color w:val="000000"/>
          <w:sz w:val="22"/>
        </w:rPr>
        <w:t> </w:t>
      </w:r>
      <w:r>
        <w:rPr>
          <w:rFonts w:ascii="Times New Roman" w:hAnsi="Times New Roman"/>
          <w:b w:val="false"/>
          <w:i w:val="false"/>
          <w:color w:val="000000"/>
          <w:sz w:val="22"/>
        </w:rPr>
        <w:t>When workers perform services in more than one state and there is no base of operations in any one state, the state from which the worker is immediately directed and controlled is the state to which the wages are reportable provided that some services are performed by the worker in that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23.24(4)</w:t>
      </w:r>
      <w:r>
        <w:rPr>
          <w:rFonts w:ascii="Times New Roman" w:hAnsi="Times New Roman"/>
          <w:b w:val="false"/>
          <w:i w:val="false"/>
          <w:color w:val="000000"/>
          <w:sz w:val="22"/>
        </w:rPr>
        <w:t> </w:t>
      </w:r>
      <w:r>
        <w:rPr>
          <w:rFonts w:ascii="Times New Roman" w:hAnsi="Times New Roman"/>
          <w:b w:val="false"/>
          <w:i w:val="false"/>
          <w:color w:val="000000"/>
          <w:sz w:val="22"/>
        </w:rPr>
        <w:t>If the services of the workers are not localized in a state, the base of operations is not involved or the place where services are directed and controlled is not applicable, then the wages are reportable to the state in which the worker resides, provided some services are performed in that state.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2">
        <w:r>
          <w:rPr>
            <w:rStyle w:val="Hyperlink"/>
            <w:rFonts w:ascii="Times New Roman" w:hAnsi="Times New Roman"/>
            <w:b w:val="false"/>
            <w:i w:val="false"/>
            <w:color w:val="000000"/>
            <w:sz w:val="22"/>
          </w:rPr>
          <w:t>96.1A(16)</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871—23.25</w:t>
      </w:r>
      <w:r>
        <w:rPr>
          <w:rFonts w:ascii="Times New Roman" w:hAnsi="Times New Roman"/>
          <w:b/>
          <w:i w:val="false"/>
          <w:color w:val="000000"/>
          <w:sz w:val="22"/>
        </w:rPr>
        <w:t xml:space="preserve">(96) </w:t>
      </w:r>
      <w:r>
        <w:rPr>
          <w:rFonts w:ascii="Times New Roman" w:hAnsi="Times New Roman"/>
          <w:b/>
          <w:i w:val="false"/>
          <w:color w:val="000000"/>
          <w:sz w:val="22"/>
        </w:rPr>
        <w:t xml:space="preserve">Domestic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23.25(1)</w:t>
      </w:r>
      <w:r>
        <w:rPr>
          <w:rFonts w:ascii="Times New Roman" w:hAnsi="Times New Roman"/>
          <w:b w:val="false"/>
          <w:i w:val="false"/>
          <w:color w:val="000000"/>
          <w:sz w:val="22"/>
        </w:rPr>
        <w:t> </w:t>
      </w:r>
      <w:r>
        <w:rPr>
          <w:rFonts w:ascii="Times New Roman" w:hAnsi="Times New Roman"/>
          <w:b w:val="false"/>
          <w:i w:val="false"/>
          <w:color w:val="000000"/>
          <w:sz w:val="22"/>
        </w:rPr>
        <w:t>Services of a household nature performed by an individual in or about the private home of the person by whom the individual is employed or performed in or about the club rooms or house of a local college club or local chapter of a college fraternity or sorority by which the individual is employed are included within the term “domestic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23.25(2)</w:t>
      </w:r>
      <w:r>
        <w:rPr>
          <w:rFonts w:ascii="Times New Roman" w:hAnsi="Times New Roman"/>
          <w:b w:val="false"/>
          <w:i w:val="false"/>
          <w:color w:val="000000"/>
          <w:sz w:val="22"/>
        </w:rPr>
        <w:t> </w:t>
      </w:r>
      <w:r>
        <w:rPr>
          <w:rFonts w:ascii="Times New Roman" w:hAnsi="Times New Roman"/>
          <w:b w:val="false"/>
          <w:i w:val="false"/>
          <w:color w:val="000000"/>
          <w:sz w:val="22"/>
        </w:rPr>
        <w:t>A private home is the fixed place of abode or residence of an individual or family, including the house and the lands on which the house stands.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23.25(3)</w:t>
      </w:r>
      <w:r>
        <w:rPr>
          <w:rFonts w:ascii="Times New Roman" w:hAnsi="Times New Roman"/>
          <w:b w:val="false"/>
          <w:i w:val="false"/>
          <w:color w:val="000000"/>
          <w:sz w:val="22"/>
        </w:rPr>
        <w:t> </w:t>
      </w:r>
      <w:r>
        <w:rPr>
          <w:rFonts w:ascii="Times New Roman" w:hAnsi="Times New Roman"/>
          <w:b w:val="false"/>
          <w:i w:val="false"/>
          <w:color w:val="000000"/>
          <w:sz w:val="22"/>
        </w:rPr>
        <w:t>Services of a general household nature are those ordinarily and customarily performed as an integral part of the upkeep operation and maintenance of a dwelling, residence or private home. In general, covered services of a household nature in or about a private home include services rendered by workers such as cleaning persons, cooks, maids, housekeepers, caretakers, yard workers and similar domestic workers. In addition, services performed by babysitters, nannies, health aides and similar workers for members of the household are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23.25(4)</w:t>
      </w:r>
      <w:r>
        <w:rPr>
          <w:rFonts w:ascii="Times New Roman" w:hAnsi="Times New Roman"/>
          <w:b w:val="false"/>
          <w:i w:val="false"/>
          <w:color w:val="000000"/>
          <w:sz w:val="22"/>
        </w:rPr>
        <w:t> </w:t>
      </w:r>
      <w:r>
        <w:rPr>
          <w:rFonts w:ascii="Times New Roman" w:hAnsi="Times New Roman"/>
          <w:b w:val="false"/>
          <w:i w:val="false"/>
          <w:color w:val="000000"/>
          <w:sz w:val="22"/>
        </w:rPr>
        <w:t>The services enumerated above are not covered under the term “domestic service” if performed in or about rooming or lodging houses, boarding houses, clubs (except local college clubs), hotels, offices or other commercial enterprises.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23.25(5)</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term “domestic service” does not include the service of an individual engaged in recognized independent craft not habitually rendered as a part of ordinary household duties. In situations where it may be necessary to determine whether or not an employer-employee relationship exists between the householder and the household worker, the guidelines as set forth in rule </w:t>
      </w:r>
      <w:hyperlink r:id="rId53">
        <w:r>
          <w:rPr>
            <w:rStyle w:val="Hyperlink"/>
            <w:rFonts w:ascii="Times New Roman" w:hAnsi="Times New Roman"/>
            <w:b w:val="false"/>
            <w:i w:val="false"/>
            <w:color w:val="000000"/>
            <w:sz w:val="22"/>
          </w:rPr>
          <w:t>871—23.19</w:t>
        </w:r>
      </w:hyperlink>
      <w:r>
        <w:rPr>
          <w:rFonts w:ascii="Times New Roman" w:hAnsi="Times New Roman"/>
          <w:b w:val="false"/>
          <w:i w:val="false"/>
          <w:color w:val="000000"/>
          <w:sz w:val="22"/>
        </w:rPr>
        <w:t>(96) will be applied.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23.25(6)</w:t>
      </w:r>
      <w:r>
        <w:rPr>
          <w:rFonts w:ascii="Times New Roman" w:hAnsi="Times New Roman"/>
          <w:b w:val="false"/>
          <w:i w:val="false"/>
          <w:color w:val="000000"/>
          <w:sz w:val="22"/>
        </w:rPr>
        <w:t> </w:t>
      </w:r>
      <w:r>
        <w:rPr>
          <w:rFonts w:ascii="Times New Roman" w:hAnsi="Times New Roman"/>
          <w:b w:val="false"/>
          <w:i w:val="false"/>
          <w:color w:val="000000"/>
          <w:sz w:val="22"/>
        </w:rPr>
        <w:t>Services of a household nature performed in or about the club rooms or house of a local college club, or in or about the club rooms or house of a local chapter of a college fraternity or sorority, by a student who is enrolled and regularly attending classes at a school, college, or university are excepted from employment. For the purpose of this exception, the statutory tests are the type of services performed by the employee, the character of the place where the services are performed, and the status of the employee as a student enrolled and regularly attending classes at a school, college, or university where the term “school, college, or university” is taken in its commonly or generally accepted sense.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23.25(7)</w:t>
      </w:r>
      <w:r>
        <w:rPr>
          <w:rFonts w:ascii="Times New Roman" w:hAnsi="Times New Roman"/>
          <w:b w:val="false"/>
          <w:i w:val="false"/>
          <w:color w:val="000000"/>
          <w:sz w:val="22"/>
        </w:rPr>
        <w:t> </w:t>
      </w:r>
      <w:r>
        <w:rPr>
          <w:rFonts w:ascii="Times New Roman" w:hAnsi="Times New Roman"/>
          <w:b w:val="false"/>
          <w:i w:val="false"/>
          <w:color w:val="000000"/>
          <w:sz w:val="22"/>
        </w:rPr>
        <w:t>In general, services of a household nature in or about the club rooms or house of a local college club or local chapter of a college fraternity or sorority include but are not limited to services rendered by cooks, janitors, laundry persons, furnace persons, handy persons, gardeners and housekeepers.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23.25(8)</w:t>
      </w:r>
      <w:r>
        <w:rPr>
          <w:rFonts w:ascii="Times New Roman" w:hAnsi="Times New Roman"/>
          <w:b w:val="false"/>
          <w:i w:val="false"/>
          <w:color w:val="000000"/>
          <w:sz w:val="22"/>
        </w:rPr>
        <w:t> </w:t>
      </w:r>
      <w:r>
        <w:rPr>
          <w:rFonts w:ascii="Times New Roman" w:hAnsi="Times New Roman"/>
          <w:b w:val="false"/>
          <w:i w:val="false"/>
          <w:color w:val="000000"/>
          <w:sz w:val="22"/>
        </w:rPr>
        <w:t>A local college club or local chapter of a college fraternity or sorority does not include an alumni club or chapter. If the club rooms or house of a local college club or local chapter of a college fraternity or sorority is used primarily for the purpose of supplying board or lodging to students or the public as a business enterprise, the services performed there are not covered under the term “domestic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23.25(9)</w:t>
      </w:r>
      <w:r>
        <w:rPr>
          <w:rFonts w:ascii="Times New Roman" w:hAnsi="Times New Roman"/>
          <w:b w:val="false"/>
          <w:i w:val="false"/>
          <w:color w:val="000000"/>
          <w:sz w:val="22"/>
        </w:rPr>
        <w:t> </w:t>
      </w:r>
      <w:r>
        <w:rPr>
          <w:rFonts w:ascii="Times New Roman" w:hAnsi="Times New Roman"/>
          <w:b w:val="false"/>
          <w:i w:val="false"/>
          <w:color w:val="000000"/>
          <w:sz w:val="22"/>
        </w:rPr>
        <w:t>Where an individual is employed by a domestic service or home health care organization to perform domestic services in a private home, the individual is an employee of the service firm, not the householder.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4">
        <w:r>
          <w:rPr>
            <w:rStyle w:val="Hyperlink"/>
            <w:rFonts w:ascii="Times New Roman" w:hAnsi="Times New Roman"/>
            <w:b w:val="false"/>
            <w:i w:val="false"/>
            <w:color w:val="000000"/>
            <w:sz w:val="22"/>
          </w:rPr>
          <w:t>96.1A(11)</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96.1A(14)</w:t>
        </w:r>
      </w:hyperlink>
      <w:r>
        <w:rPr>
          <w:rFonts w:ascii="Times New Roman" w:hAnsi="Times New Roman"/>
          <w:b w:val="false"/>
          <w:i/>
          <w:color w:val="000000"/>
          <w:sz w:val="22"/>
        </w:rPr>
        <w:t>“m.”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871—23.26</w:t>
      </w:r>
      <w:r>
        <w:rPr>
          <w:rFonts w:ascii="Times New Roman" w:hAnsi="Times New Roman"/>
          <w:b/>
          <w:i w:val="false"/>
          <w:color w:val="000000"/>
          <w:sz w:val="22"/>
        </w:rPr>
        <w:t xml:space="preserve">(96) </w:t>
      </w:r>
      <w:r>
        <w:rPr>
          <w:rFonts w:ascii="Times New Roman" w:hAnsi="Times New Roman"/>
          <w:b/>
          <w:i w:val="false"/>
          <w:color w:val="000000"/>
          <w:sz w:val="22"/>
        </w:rPr>
        <w:t xml:space="preserve">Definition of a farm—agricultural labor.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23.26(1)</w:t>
      </w:r>
      <w:r>
        <w:rPr>
          <w:rFonts w:ascii="Times New Roman" w:hAnsi="Times New Roman"/>
          <w:b w:val="false"/>
          <w:i w:val="false"/>
          <w:color w:val="000000"/>
          <w:sz w:val="22"/>
        </w:rPr>
        <w:t> </w:t>
      </w:r>
      <w:r>
        <w:rPr>
          <w:rFonts w:ascii="Times New Roman" w:hAnsi="Times New Roman"/>
          <w:b w:val="false"/>
          <w:i w:val="false"/>
          <w:color w:val="000000"/>
          <w:sz w:val="22"/>
        </w:rPr>
        <w:t xml:space="preserve">“Farm” as used in Iowa Code section </w:t>
      </w:r>
      <w:hyperlink r:id="rId56">
        <w:r>
          <w:rPr>
            <w:rStyle w:val="Hyperlink"/>
            <w:rFonts w:ascii="Times New Roman" w:hAnsi="Times New Roman"/>
            <w:b w:val="false"/>
            <w:i w:val="false"/>
            <w:color w:val="000000"/>
            <w:sz w:val="22"/>
          </w:rPr>
          <w:t>96.1A(16)</w:t>
        </w:r>
      </w:hyperlink>
      <w:r>
        <w:rPr>
          <w:rFonts w:ascii="Times New Roman" w:hAnsi="Times New Roman"/>
          <w:b w:val="false"/>
          <w:i/>
          <w:color w:val="000000"/>
          <w:sz w:val="22"/>
        </w:rPr>
        <w:t>“g”</w:t>
      </w:r>
      <w:r>
        <w:rPr>
          <w:rFonts w:ascii="Times New Roman" w:hAnsi="Times New Roman"/>
          <w:b w:val="false"/>
          <w:i w:val="false"/>
          <w:color w:val="000000"/>
          <w:sz w:val="22"/>
        </w:rPr>
        <w:t>(3) and in these rules means one or more plots of land not necessarily contiguous, including structures and buildings, used either primarily for raising or harvesting any agricultural or horticultural commodity, including caring for and the raising, shearing, feeding, training, and management of livestock, bees, poultry and furbearing animals and wildlife or both such uses, if the activities conducted have an agricultural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definition of farm in subrule </w:t>
      </w:r>
      <w:r>
        <w:rPr>
          <w:rFonts w:ascii="Times New Roman" w:hAnsi="Times New Roman"/>
          <w:b w:val="false"/>
          <w:i w:val="false"/>
          <w:color w:val="000000"/>
          <w:sz w:val="22"/>
        </w:rPr>
        <w:t>23.26(1)</w:t>
      </w:r>
      <w:r>
        <w:rPr>
          <w:rFonts w:ascii="Times New Roman" w:hAnsi="Times New Roman"/>
          <w:b w:val="false"/>
          <w:i w:val="false"/>
          <w:color w:val="000000"/>
          <w:sz w:val="22"/>
        </w:rPr>
        <w:t xml:space="preserve"> includes but is not limited to nurseries, greenhouses or other similar structures used primarily for the raising of agricultural or horticultural commodities. A plot of land used primarily for the raising of nursery stock from seeds, cuttings or transplanted stock is a farm. If any plot of land is used both for the raising of nursery stock and for display of nursery stock or allied products for sale, the parcel or portion is not a farm if the raising is not the primary operation. A parcel of real property or a portion of a parcel of real property that is used primarily to display nursery stock for sale or to display an allied product for sale, or both, is not a farm. Allied product, as used in this rule, includes but is not limited to garden supplies, lawn supplies, tools, equipment, fertilizers, sprays, insecticides or pottery.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23.26(3)</w:t>
      </w:r>
      <w:r>
        <w:rPr>
          <w:rFonts w:ascii="Times New Roman" w:hAnsi="Times New Roman"/>
          <w:b w:val="false"/>
          <w:i w:val="false"/>
          <w:color w:val="000000"/>
          <w:sz w:val="22"/>
        </w:rPr>
        <w:t> </w:t>
      </w:r>
      <w:r>
        <w:rPr>
          <w:rFonts w:ascii="Times New Roman" w:hAnsi="Times New Roman"/>
          <w:b w:val="false"/>
          <w:i w:val="false"/>
          <w:color w:val="000000"/>
          <w:sz w:val="22"/>
        </w:rPr>
        <w:t>If other than incidental sales of an allied product are made in connection with a nursery, the operations in connection with the sales area are commercial operations as distinguished from ordinary farm operations and services performed with respect to the sales areas are not agricultural labor.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23.26(4)</w:t>
      </w:r>
      <w:r>
        <w:rPr>
          <w:rFonts w:ascii="Times New Roman" w:hAnsi="Times New Roman"/>
          <w:b w:val="false"/>
          <w:i w:val="false"/>
          <w:color w:val="000000"/>
          <w:sz w:val="22"/>
        </w:rPr>
        <w:t> </w:t>
      </w:r>
      <w:r>
        <w:rPr>
          <w:rFonts w:ascii="Times New Roman" w:hAnsi="Times New Roman"/>
          <w:b w:val="false"/>
          <w:i w:val="false"/>
          <w:color w:val="000000"/>
          <w:sz w:val="22"/>
        </w:rPr>
        <w:t>A plot of land used primarily for the raising of Christmas trees is a farm.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23.26(5)</w:t>
      </w:r>
      <w:r>
        <w:rPr>
          <w:rFonts w:ascii="Times New Roman" w:hAnsi="Times New Roman"/>
          <w:b w:val="false"/>
          <w:i w:val="false"/>
          <w:color w:val="000000"/>
          <w:sz w:val="22"/>
        </w:rPr>
        <w:t> </w:t>
      </w:r>
      <w:r>
        <w:rPr>
          <w:rFonts w:ascii="Times New Roman" w:hAnsi="Times New Roman"/>
          <w:b w:val="false"/>
          <w:i w:val="false"/>
          <w:color w:val="000000"/>
          <w:sz w:val="22"/>
        </w:rPr>
        <w:t>The following shall be used to determine whether services are defined as agricultural labor.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performed by an individual on a farm, employed by the owner, tenant or operator, in connection with the operation constitutes agricultural labor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services are on the farm on which the materials in their raw or natural state were produced,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Processing, packing, packaging, transportation, or marketing is carried on as incidental to ordinary farming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service performed is incidental to industrial, manufacturing or commercial operation, it does not constitute agricultural labor. </w:t>
      </w:r>
      <w:r>
        <w:rPr>
          <w:rFonts w:ascii="Times New Roman" w:hAnsi="Times New Roman"/>
          <w:b w:val="false"/>
          <w:i w:val="false"/>
          <w:color w:val="000000"/>
          <w:sz w:val="22"/>
        </w:rPr>
        <w:t>EXAMPLE</w:t>
      </w:r>
      <w:r>
        <w:rPr>
          <w:rFonts w:ascii="Times New Roman" w:hAnsi="Times New Roman"/>
          <w:b w:val="false"/>
          <w:i w:val="false"/>
          <w:color w:val="000000"/>
          <w:sz w:val="22"/>
        </w:rPr>
        <w:t>: Services performed for an insurance company in repair and construction of farm buildings do not constitute agricultural labor.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23.26(6)</w:t>
      </w:r>
      <w:r>
        <w:rPr>
          <w:rFonts w:ascii="Times New Roman" w:hAnsi="Times New Roman"/>
          <w:b w:val="false"/>
          <w:i w:val="false"/>
          <w:color w:val="000000"/>
          <w:sz w:val="22"/>
        </w:rPr>
        <w:t> </w:t>
      </w:r>
      <w:r>
        <w:rPr>
          <w:rFonts w:ascii="Times New Roman" w:hAnsi="Times New Roman"/>
          <w:b w:val="false"/>
          <w:i w:val="false"/>
          <w:color w:val="000000"/>
          <w:sz w:val="22"/>
        </w:rPr>
        <w:t>Services performed on nonfarm property by an employee of one who is not the owner, tenant or operator of the farm to which the operation relates or any service rendered in connection with the maintenance and repair of equipment, used in operation on the farm, as well as related collection, clerical and bookkeeping services, are not agricultural labor.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23.26(7)</w:t>
      </w:r>
      <w:r>
        <w:rPr>
          <w:rFonts w:ascii="Times New Roman" w:hAnsi="Times New Roman"/>
          <w:b w:val="false"/>
          <w:i w:val="false"/>
          <w:color w:val="000000"/>
          <w:sz w:val="22"/>
        </w:rPr>
        <w:t> </w:t>
      </w:r>
      <w:r>
        <w:rPr>
          <w:rFonts w:ascii="Times New Roman" w:hAnsi="Times New Roman"/>
          <w:b w:val="false"/>
          <w:i w:val="false"/>
          <w:color w:val="000000"/>
          <w:sz w:val="22"/>
        </w:rPr>
        <w:t>Services performed in the handling or processing of any agricultural or horticultural commodity are agricultural employment if performed by an employee of the owner, tenant, or other farm operator, only if the commodity is in a nonmanufactured state and only if the operator produced more than half of the commodity with respect to which the service was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23.26(8)</w:t>
      </w:r>
      <w:r>
        <w:rPr>
          <w:rFonts w:ascii="Times New Roman" w:hAnsi="Times New Roman"/>
          <w:b w:val="false"/>
          <w:i w:val="false"/>
          <w:color w:val="000000"/>
          <w:sz w:val="22"/>
        </w:rPr>
        <w:t> </w:t>
      </w:r>
      <w:r>
        <w:rPr>
          <w:rFonts w:ascii="Times New Roman" w:hAnsi="Times New Roman"/>
          <w:b w:val="false"/>
          <w:i w:val="false"/>
          <w:color w:val="000000"/>
          <w:sz w:val="22"/>
        </w:rPr>
        <w:t>Aerial seeding, fertilizing, spraying, dusting, custom planting, cultivating or combining of farm acres by an employee of any agricultural enterprise is agricultural labor. This includes mixing or loading into an airplane the spraying or dusting material, as well as the measuring of the swaths and the marking and flagging of the fields, and is considered agricultural as long as it is performed on a farm. If any of these services are performed on property other than a farm, they are not agricultural labor and are covered by other provisions of the Iowa employment security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23.26(9)</w:t>
      </w:r>
      <w:r>
        <w:rPr>
          <w:rFonts w:ascii="Times New Roman" w:hAnsi="Times New Roman"/>
          <w:b w:val="false"/>
          <w:i w:val="false"/>
          <w:color w:val="000000"/>
          <w:sz w:val="22"/>
        </w:rPr>
        <w:t> </w:t>
      </w:r>
      <w:r>
        <w:rPr>
          <w:rFonts w:ascii="Times New Roman" w:hAnsi="Times New Roman"/>
          <w:b w:val="false"/>
          <w:i w:val="false"/>
          <w:color w:val="000000"/>
          <w:sz w:val="22"/>
        </w:rPr>
        <w:t>If the employer does not own or operate the farm that is being sprayed or dusted, any service related to employees in connection with maintenance and repair of the aircraft, trucks, or other equipment used in those operations, as well as related collection, clerical and bookkeeping services, are not agricultural labor and are not exempt under the Iowa employment security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23.26(10)</w:t>
      </w:r>
      <w:r>
        <w:rPr>
          <w:rFonts w:ascii="Times New Roman" w:hAnsi="Times New Roman"/>
          <w:b w:val="false"/>
          <w:i w:val="false"/>
          <w:color w:val="000000"/>
          <w:sz w:val="22"/>
        </w:rPr>
        <w:t> </w:t>
      </w:r>
      <w:r>
        <w:rPr>
          <w:rFonts w:ascii="Times New Roman" w:hAnsi="Times New Roman"/>
          <w:b w:val="false"/>
          <w:i w:val="false"/>
          <w:color w:val="000000"/>
          <w:sz w:val="22"/>
        </w:rPr>
        <w:t>Services performed on a farm by an employee of any person in connection with hatching poultry are agricultural labor. A plot of land together with the structures and buildings located off the farm, devoted to the hatching of poultry, is not considered to be a farm. Any service, under any contract of hire, performed off the farm in connection with the hatching of poultry is not considered agricultural labor.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23.26(11)</w:t>
      </w:r>
      <w:r>
        <w:rPr>
          <w:rFonts w:ascii="Times New Roman" w:hAnsi="Times New Roman"/>
          <w:b w:val="false"/>
          <w:i w:val="false"/>
          <w:color w:val="000000"/>
          <w:sz w:val="22"/>
        </w:rPr>
        <w:t> </w:t>
      </w:r>
      <w:r>
        <w:rPr>
          <w:rFonts w:ascii="Times New Roman" w:hAnsi="Times New Roman"/>
          <w:b w:val="false"/>
          <w:i w:val="false"/>
          <w:color w:val="000000"/>
          <w:sz w:val="22"/>
        </w:rPr>
        <w:t>Executive, supervisory, administrative, clerical, stenographic, and office work are not agricultural labor even if performed on a farm and in relation to a farm.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23.26(12)</w:t>
      </w:r>
      <w:r>
        <w:rPr>
          <w:rFonts w:ascii="Times New Roman" w:hAnsi="Times New Roman"/>
          <w:b w:val="false"/>
          <w:i w:val="false"/>
          <w:color w:val="000000"/>
          <w:sz w:val="22"/>
        </w:rPr>
        <w:t> </w:t>
      </w:r>
      <w:r>
        <w:rPr>
          <w:rFonts w:ascii="Times New Roman" w:hAnsi="Times New Roman"/>
          <w:b w:val="false"/>
          <w:i w:val="false"/>
          <w:color w:val="000000"/>
          <w:sz w:val="22"/>
        </w:rPr>
        <w:t>Services performed on a farm incidental to the overall commercial activities that are not incidental to ordinary farming operation or directly related to the farming operation are not agricultural labor.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23.26(13)</w:t>
      </w:r>
      <w:r>
        <w:rPr>
          <w:rFonts w:ascii="Times New Roman" w:hAnsi="Times New Roman"/>
          <w:b w:val="false"/>
          <w:i w:val="false"/>
          <w:color w:val="000000"/>
          <w:sz w:val="22"/>
        </w:rPr>
        <w:t> </w:t>
      </w:r>
      <w:r>
        <w:rPr>
          <w:rFonts w:ascii="Times New Roman" w:hAnsi="Times New Roman"/>
          <w:b w:val="false"/>
          <w:i w:val="false"/>
          <w:color w:val="000000"/>
          <w:sz w:val="22"/>
        </w:rPr>
        <w:t>Services performed in connection with the processing of agricultural commodities performed on a farm, for a farm operation, are not agricultural labor unless one-half or more of the commodities processed are produced by the farm operator.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23.26(14)</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performed in agricultural employment as defined in Iowa Code section </w:t>
      </w:r>
      <w:hyperlink r:id="rId57">
        <w:r>
          <w:rPr>
            <w:rStyle w:val="Hyperlink"/>
            <w:rFonts w:ascii="Times New Roman" w:hAnsi="Times New Roman"/>
            <w:b w:val="false"/>
            <w:i w:val="false"/>
            <w:color w:val="000000"/>
            <w:sz w:val="22"/>
          </w:rPr>
          <w:t>96.1A(16)</w:t>
        </w:r>
      </w:hyperlink>
      <w:r>
        <w:rPr>
          <w:rFonts w:ascii="Times New Roman" w:hAnsi="Times New Roman"/>
          <w:b w:val="false"/>
          <w:i/>
          <w:color w:val="000000"/>
          <w:sz w:val="22"/>
        </w:rPr>
        <w:t>“g”</w:t>
      </w:r>
      <w:r>
        <w:rPr>
          <w:rFonts w:ascii="Times New Roman" w:hAnsi="Times New Roman"/>
          <w:b w:val="false"/>
          <w:i w:val="false"/>
          <w:color w:val="000000"/>
          <w:sz w:val="22"/>
        </w:rPr>
        <w:t xml:space="preserve">(3) or rule </w:t>
      </w:r>
      <w:hyperlink r:id="rId58">
        <w:r>
          <w:rPr>
            <w:rStyle w:val="Hyperlink"/>
            <w:rFonts w:ascii="Times New Roman" w:hAnsi="Times New Roman"/>
            <w:b w:val="false"/>
            <w:i w:val="false"/>
            <w:color w:val="000000"/>
            <w:sz w:val="22"/>
          </w:rPr>
          <w:t>871—23.26</w:t>
        </w:r>
      </w:hyperlink>
      <w:r>
        <w:rPr>
          <w:rFonts w:ascii="Times New Roman" w:hAnsi="Times New Roman"/>
          <w:b w:val="false"/>
          <w:i w:val="false"/>
          <w:color w:val="000000"/>
          <w:sz w:val="22"/>
        </w:rPr>
        <w:t>(96) by an agricultural employee for one-half or more of any calendar month are considered agricultural employment the whole of that calendar month.</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9">
        <w:r>
          <w:rPr>
            <w:rStyle w:val="Hyperlink"/>
            <w:rFonts w:ascii="Times New Roman" w:hAnsi="Times New Roman"/>
            <w:b w:val="false"/>
            <w:i w:val="false"/>
            <w:color w:val="000000"/>
            <w:sz w:val="22"/>
          </w:rPr>
          <w:t>96.1A(16)</w:t>
        </w:r>
      </w:hyperlink>
      <w:r>
        <w:rPr>
          <w:rFonts w:ascii="Times New Roman" w:hAnsi="Times New Roman"/>
          <w:b w:val="false"/>
          <w:i/>
          <w:color w:val="000000"/>
          <w:sz w:val="22"/>
        </w:rPr>
        <w:t>“g”</w:t>
      </w:r>
      <w:r>
        <w:rPr>
          <w:rFonts w:ascii="Times New Roman" w:hAnsi="Times New Roman"/>
          <w:b w:val="false"/>
          <w:i w:val="false"/>
          <w:color w:val="000000"/>
          <w:sz w:val="22"/>
        </w:rPr>
        <w:t>(3).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871—23.27</w:t>
      </w:r>
      <w:r>
        <w:rPr>
          <w:rFonts w:ascii="Times New Roman" w:hAnsi="Times New Roman"/>
          <w:b/>
          <w:i w:val="false"/>
          <w:color w:val="000000"/>
          <w:sz w:val="22"/>
        </w:rPr>
        <w:t xml:space="preserve">(96) </w:t>
      </w:r>
      <w:r>
        <w:rPr>
          <w:rFonts w:ascii="Times New Roman" w:hAnsi="Times New Roman"/>
          <w:b/>
          <w:i w:val="false"/>
          <w:color w:val="000000"/>
          <w:sz w:val="22"/>
        </w:rPr>
        <w:t xml:space="preserve">Exempt employment in the employ of a church, association of churches or an organization that is operated primarily for religious purposes.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23.27(1)</w:t>
      </w:r>
      <w:r>
        <w:rPr>
          <w:rFonts w:ascii="Times New Roman" w:hAnsi="Times New Roman"/>
          <w:b w:val="false"/>
          <w:i w:val="false"/>
          <w:color w:val="000000"/>
          <w:sz w:val="22"/>
        </w:rPr>
        <w:t> </w:t>
      </w:r>
      <w:r>
        <w:rPr>
          <w:rFonts w:ascii="Times New Roman" w:hAnsi="Times New Roman"/>
          <w:b w:val="false"/>
          <w:i w:val="false"/>
          <w:color w:val="000000"/>
          <w:sz w:val="22"/>
        </w:rPr>
        <w:t>The word “church” is used in its limited sense and is synonymous with an individual house of worship maintained by a particular congregation. Any service by an individual for a church, convention or association of churches is excluded from coverage. However, the exclusion does not apply to service performed for an organization that may be religious in orientation unless it is operated primarily for religious purposes and is operated, supervised, controlled or principally supported by a church (or a convention or association of churches). Thus, the service of the janitor of a church is excluded, but the service of a janitor for a separately incorporated college, although it may be church-related, is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23.27(2)</w:t>
      </w:r>
      <w:r>
        <w:rPr>
          <w:rFonts w:ascii="Times New Roman" w:hAnsi="Times New Roman"/>
          <w:b w:val="false"/>
          <w:i w:val="false"/>
          <w:color w:val="000000"/>
          <w:sz w:val="22"/>
        </w:rPr>
        <w:t> </w:t>
      </w:r>
      <w:r>
        <w:rPr>
          <w:rFonts w:ascii="Times New Roman" w:hAnsi="Times New Roman"/>
          <w:b w:val="false"/>
          <w:i w:val="false"/>
          <w:color w:val="000000"/>
          <w:sz w:val="22"/>
        </w:rPr>
        <w:t>Service for a college devoted primarily to the preparation of students for the ministry is exempt, as is service for a novitiate or a house of study, training candidates to become members of religious orders. However, this chapter does not consider a church-related (separately incorporated) charitable organization (such as an orphanage or a home for the aged) to be operated primarily for religious purposes.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23.27(3)</w:t>
      </w:r>
      <w:r>
        <w:rPr>
          <w:rFonts w:ascii="Times New Roman" w:hAnsi="Times New Roman"/>
          <w:b w:val="false"/>
          <w:i w:val="false"/>
          <w:color w:val="000000"/>
          <w:sz w:val="22"/>
        </w:rPr>
        <w:t> </w:t>
      </w:r>
      <w:r>
        <w:rPr>
          <w:rFonts w:ascii="Times New Roman" w:hAnsi="Times New Roman"/>
          <w:b w:val="false"/>
          <w:i w:val="false"/>
          <w:color w:val="000000"/>
          <w:sz w:val="22"/>
        </w:rPr>
        <w:t>The exclusion of service performed by ministers in the exercise of their ministry and by members of a religious order in performing the duties required by such order applies only when such service is performed for nonprofit organizations ordinarily required to be covered by the Iowa employment security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23.27(4)</w:t>
      </w:r>
      <w:r>
        <w:rPr>
          <w:rFonts w:ascii="Times New Roman" w:hAnsi="Times New Roman"/>
          <w:b w:val="false"/>
          <w:i w:val="false"/>
          <w:color w:val="000000"/>
          <w:sz w:val="22"/>
        </w:rPr>
        <w:t> </w:t>
      </w:r>
      <w:r>
        <w:rPr>
          <w:rFonts w:ascii="Times New Roman" w:hAnsi="Times New Roman"/>
          <w:b w:val="false"/>
          <w:i w:val="false"/>
          <w:color w:val="000000"/>
          <w:sz w:val="22"/>
        </w:rPr>
        <w:t>A minister is ordained, commissioned, or licensed if such minister has been vested with ministerial status in accordance with the procedure followed by the particular church denomination. Such minister does not have to be connected with a congregation. Ministerial authority continues until revoked by the church.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23.27(5)</w:t>
      </w:r>
      <w:r>
        <w:rPr>
          <w:rFonts w:ascii="Times New Roman" w:hAnsi="Times New Roman"/>
          <w:b w:val="false"/>
          <w:i w:val="false"/>
          <w:color w:val="000000"/>
          <w:sz w:val="22"/>
        </w:rPr>
        <w:t> </w:t>
      </w:r>
      <w:r>
        <w:rPr>
          <w:rFonts w:ascii="Times New Roman" w:hAnsi="Times New Roman"/>
          <w:b w:val="false"/>
          <w:i w:val="false"/>
          <w:color w:val="000000"/>
          <w:sz w:val="22"/>
        </w:rPr>
        <w:t>The term “exercise of the ministry” includes the conduct of religious worship and the ministration of sacerdotal functions; service performed in the control, conduct, and maintenance of a religious organization under the authority of a religious body constituting a church or church denomination or an organization operated as an integral agency of such a religious organization or of a church or church denomination; service performed for any organization under an assignment or designation by a church (not including cases in which a church merely helps a minister by recommending such minister for a position involving nonministerial services for an organization not connected with the church); and missionary service or administrative work in the employ of a missionary organization. Control, conduct, and maintenance of an organization does not include services such as operating an elevator, or being a janitor, but refers to services performed in the directing, management, or promotion of the activities of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23.27(6)</w:t>
      </w:r>
      <w:r>
        <w:rPr>
          <w:rFonts w:ascii="Times New Roman" w:hAnsi="Times New Roman"/>
          <w:b w:val="false"/>
          <w:i w:val="false"/>
          <w:color w:val="000000"/>
          <w:sz w:val="22"/>
        </w:rPr>
        <w:t> </w:t>
      </w:r>
      <w:r>
        <w:rPr>
          <w:rFonts w:ascii="Times New Roman" w:hAnsi="Times New Roman"/>
          <w:b w:val="false"/>
          <w:i w:val="false"/>
          <w:color w:val="000000"/>
          <w:sz w:val="22"/>
        </w:rPr>
        <w:t>Accordingly, service of clergy as a chaplain in an orphanage or in an old-age home is excluded since such service is in the exercise of a ministry as is the service of members of a teaching or nursing order who are engaged in teaching or nursing. In the case of a member of a religious order, the criterion is whether the order requires the performance of such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23.27(7)</w:t>
      </w:r>
      <w:r>
        <w:rPr>
          <w:rFonts w:ascii="Times New Roman" w:hAnsi="Times New Roman"/>
          <w:b w:val="false"/>
          <w:i w:val="false"/>
          <w:color w:val="000000"/>
          <w:sz w:val="22"/>
        </w:rPr>
        <w:t> </w:t>
      </w:r>
      <w:r>
        <w:rPr>
          <w:rFonts w:ascii="Times New Roman" w:hAnsi="Times New Roman"/>
          <w:b w:val="false"/>
          <w:i w:val="false"/>
          <w:color w:val="000000"/>
          <w:sz w:val="22"/>
        </w:rPr>
        <w:t>School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Schools that are not separately incorporated and are affiliated with a church are exempt from insured employment because their employees are in the direct employ of a church or convention or association of churches.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Schools that are separately incorporated and are affiliated with a church are exempt from insured employment if such schools are operated primarily for religious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Schools that are not affiliated with a church are covered employers with covered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“Affiliated” </w:t>
      </w:r>
      <w:r>
        <w:rPr>
          <w:rFonts w:ascii="Times New Roman" w:hAnsi="Times New Roman"/>
          <w:b w:val="false"/>
          <w:i w:val="false"/>
          <w:color w:val="000000"/>
          <w:sz w:val="22"/>
        </w:rPr>
        <w:t>as used in this rule means operated, supervised, controlled, or principally supported by a church or convention or association of churches. A school that is operated primarily for religious purposes must have as its chief and principal purpose for operation a religious orientation. The school must have as its purpose of first or highest rank of importance the religious indoctrination of its students.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0">
        <w:r>
          <w:rPr>
            <w:rStyle w:val="Hyperlink"/>
            <w:rFonts w:ascii="Times New Roman" w:hAnsi="Times New Roman"/>
            <w:b w:val="false"/>
            <w:i w:val="false"/>
            <w:color w:val="000000"/>
            <w:sz w:val="22"/>
          </w:rPr>
          <w:t>96.1A(16)</w:t>
        </w:r>
      </w:hyperlink>
      <w:r>
        <w:rPr>
          <w:rFonts w:ascii="Times New Roman" w:hAnsi="Times New Roman"/>
          <w:b w:val="false"/>
          <w:i/>
          <w:color w:val="000000"/>
          <w:sz w:val="22"/>
        </w:rPr>
        <w:t>“a”</w:t>
      </w:r>
      <w:r>
        <w:rPr>
          <w:rFonts w:ascii="Times New Roman" w:hAnsi="Times New Roman"/>
          <w:b w:val="false"/>
          <w:i w:val="false"/>
          <w:color w:val="000000"/>
          <w:sz w:val="22"/>
        </w:rPr>
        <w:t>(6)(a) and (c).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871—23.28</w:t>
      </w:r>
      <w:r>
        <w:rPr>
          <w:rFonts w:ascii="Times New Roman" w:hAnsi="Times New Roman"/>
          <w:b/>
          <w:i w:val="false"/>
          <w:color w:val="000000"/>
          <w:sz w:val="22"/>
        </w:rPr>
        <w:t xml:space="preserve">(96) </w:t>
      </w:r>
      <w:r>
        <w:rPr>
          <w:rFonts w:ascii="Times New Roman" w:hAnsi="Times New Roman"/>
          <w:b/>
          <w:i w:val="false"/>
          <w:color w:val="000000"/>
          <w:sz w:val="22"/>
        </w:rPr>
        <w:t xml:space="preserve">Successor.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23.28(1)</w:t>
      </w:r>
      <w:r>
        <w:rPr>
          <w:rFonts w:ascii="Times New Roman" w:hAnsi="Times New Roman"/>
          <w:b w:val="false"/>
          <w:i w:val="false"/>
          <w:color w:val="000000"/>
          <w:sz w:val="22"/>
        </w:rPr>
        <w:t> </w:t>
      </w:r>
      <w:r>
        <w:rPr>
          <w:rFonts w:ascii="Times New Roman" w:hAnsi="Times New Roman"/>
          <w:b w:val="false"/>
          <w:i w:val="false"/>
          <w:color w:val="000000"/>
          <w:sz w:val="22"/>
        </w:rPr>
        <w:t>“Successor employer” means an employing unit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Acquired, and continues to operate, the organization, trade or business, or substantially all the assets of an employing unit that were subject to the provisions of Iowa Code chapter </w:t>
      </w:r>
      <w:hyperlink r:id="rId61">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 xml:space="preserve"> prior to the acquisition, regardless of whether the acquirer was an employing unit prior to the acquisition.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Acquired a severable portion of the business of an employer who is subject to Iowa Code chapter </w:t>
      </w:r>
      <w:hyperlink r:id="rId62">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 xml:space="preserv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portion of the business or enterprise acquired would have qualified as an “employer” pursuant to Iowa Code section </w:t>
      </w:r>
      <w:hyperlink r:id="rId63">
        <w:r>
          <w:rPr>
            <w:rStyle w:val="Hyperlink"/>
            <w:rFonts w:ascii="Times New Roman" w:hAnsi="Times New Roman"/>
            <w:b w:val="false"/>
            <w:i w:val="false"/>
            <w:color w:val="000000"/>
            <w:sz w:val="22"/>
          </w:rPr>
          <w:t>96.1A(14)</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request for a transfer of experience of the severable portion was made within 90 days of the transfer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transfer request contains information required by the department and is approved by both the predecessor and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23.28(2)</w:t>
      </w:r>
      <w:r>
        <w:rPr>
          <w:rFonts w:ascii="Times New Roman" w:hAnsi="Times New Roman"/>
          <w:b w:val="false"/>
          <w:i w:val="false"/>
          <w:color w:val="000000"/>
          <w:sz w:val="22"/>
        </w:rPr>
        <w:t> </w:t>
      </w:r>
      <w:r>
        <w:rPr>
          <w:rFonts w:ascii="Times New Roman" w:hAnsi="Times New Roman"/>
          <w:b w:val="false"/>
          <w:i w:val="false"/>
          <w:color w:val="000000"/>
          <w:sz w:val="22"/>
        </w:rPr>
        <w:t xml:space="preserve">An “organization,” “trade” or “business” as used in Iowa Code section </w:t>
      </w:r>
      <w:hyperlink r:id="rId64">
        <w:r>
          <w:rPr>
            <w:rStyle w:val="Hyperlink"/>
            <w:rFonts w:ascii="Times New Roman" w:hAnsi="Times New Roman"/>
            <w:b w:val="false"/>
            <w:i w:val="false"/>
            <w:color w:val="000000"/>
            <w:sz w:val="22"/>
          </w:rPr>
          <w:t>96.1A(14)</w:t>
        </w:r>
      </w:hyperlink>
      <w:r>
        <w:rPr>
          <w:rFonts w:ascii="Times New Roman" w:hAnsi="Times New Roman"/>
          <w:b w:val="false"/>
          <w:i/>
          <w:color w:val="000000"/>
          <w:sz w:val="22"/>
        </w:rPr>
        <w:t>“b”</w:t>
      </w:r>
      <w:r>
        <w:rPr>
          <w:rFonts w:ascii="Times New Roman" w:hAnsi="Times New Roman"/>
          <w:b w:val="false"/>
          <w:i w:val="false"/>
          <w:color w:val="000000"/>
          <w:sz w:val="22"/>
        </w:rPr>
        <w:t xml:space="preserve"> is acquired if an employing unit acquires factors of an employer’s organization, trade or business sufficient to constitute an entire existing going business unit, not merely assets from which a new business may be built. Acquisition is determined by examining all of the factors of the transfer,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Good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Trade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Stock in trade.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Tools and fixtures.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Other assets.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23.28(3)</w:t>
      </w:r>
      <w:r>
        <w:rPr>
          <w:rFonts w:ascii="Times New Roman" w:hAnsi="Times New Roman"/>
          <w:b w:val="false"/>
          <w:i w:val="false"/>
          <w:color w:val="000000"/>
          <w:sz w:val="22"/>
        </w:rPr>
        <w:t> </w:t>
      </w:r>
      <w:r>
        <w:rPr>
          <w:rFonts w:ascii="Times New Roman" w:hAnsi="Times New Roman"/>
          <w:b w:val="false"/>
          <w:i w:val="false"/>
          <w:color w:val="000000"/>
          <w:sz w:val="22"/>
        </w:rPr>
        <w:t xml:space="preserve">As used in Iowa Code section </w:t>
      </w:r>
      <w:hyperlink r:id="rId65">
        <w:r>
          <w:rPr>
            <w:rStyle w:val="Hyperlink"/>
            <w:rFonts w:ascii="Times New Roman" w:hAnsi="Times New Roman"/>
            <w:b w:val="false"/>
            <w:i w:val="false"/>
            <w:color w:val="000000"/>
            <w:sz w:val="22"/>
          </w:rPr>
          <w:t>96.1A(14)</w:t>
        </w:r>
      </w:hyperlink>
      <w:r>
        <w:rPr>
          <w:rFonts w:ascii="Times New Roman" w:hAnsi="Times New Roman"/>
          <w:b w:val="false"/>
          <w:i/>
          <w:color w:val="000000"/>
          <w:sz w:val="22"/>
        </w:rPr>
        <w:t>“b,”</w:t>
      </w:r>
      <w:r>
        <w:rPr>
          <w:rFonts w:ascii="Times New Roman" w:hAnsi="Times New Roman"/>
          <w:b w:val="false"/>
          <w:i w:val="false"/>
          <w:color w:val="000000"/>
          <w:sz w:val="22"/>
        </w:rPr>
        <w:t xml:space="preserve"> “substantially all of the assets” means substantially all of the assets of any employer that generate substantially all of the employment, except those retained for liquidation.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23.28(4)</w:t>
      </w:r>
      <w:r>
        <w:rPr>
          <w:rFonts w:ascii="Times New Roman" w:hAnsi="Times New Roman"/>
          <w:b w:val="false"/>
          <w:i w:val="false"/>
          <w:color w:val="000000"/>
          <w:sz w:val="22"/>
        </w:rPr>
        <w:t> </w:t>
      </w:r>
      <w:r>
        <w:rPr>
          <w:rFonts w:ascii="Times New Roman" w:hAnsi="Times New Roman"/>
          <w:b w:val="false"/>
          <w:i w:val="false"/>
          <w:color w:val="000000"/>
          <w:sz w:val="22"/>
        </w:rPr>
        <w:t xml:space="preserve">A “segregable and identifiable part” of enterprise as used in Iowa Code section </w:t>
      </w:r>
      <w:hyperlink r:id="rId66">
        <w:r>
          <w:rPr>
            <w:rStyle w:val="Hyperlink"/>
            <w:rFonts w:ascii="Times New Roman" w:hAnsi="Times New Roman"/>
            <w:b w:val="false"/>
            <w:i w:val="false"/>
            <w:color w:val="000000"/>
            <w:sz w:val="22"/>
          </w:rPr>
          <w:t>96.7(3)</w:t>
        </w:r>
      </w:hyperlink>
      <w:r>
        <w:rPr>
          <w:rFonts w:ascii="Times New Roman" w:hAnsi="Times New Roman"/>
          <w:b w:val="false"/>
          <w:i/>
          <w:color w:val="000000"/>
          <w:sz w:val="22"/>
        </w:rPr>
        <w:t>“b”</w:t>
      </w:r>
      <w:r>
        <w:rPr>
          <w:rFonts w:ascii="Times New Roman" w:hAnsi="Times New Roman"/>
          <w:b w:val="false"/>
          <w:i w:val="false"/>
          <w:color w:val="000000"/>
          <w:sz w:val="22"/>
        </w:rPr>
        <w:t xml:space="preserve"> is acquired if an employing unit acquires factors of an existing organization, trade or business sufficient to constitute an existing separable going business unit, not merely assets from which a new business may be built. Acquisition of a distinct and severable portion is determined by examining all the factors,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Place of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Customers.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Good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Trade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Stock in trade.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Accounts receivable.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Tools and fixtures.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23.28(5)</w:t>
      </w:r>
      <w:r>
        <w:rPr>
          <w:rFonts w:ascii="Times New Roman" w:hAnsi="Times New Roman"/>
          <w:b w:val="false"/>
          <w:i w:val="false"/>
          <w:color w:val="000000"/>
          <w:sz w:val="22"/>
        </w:rPr>
        <w:t> </w:t>
      </w:r>
      <w:r>
        <w:rPr>
          <w:rFonts w:ascii="Times New Roman" w:hAnsi="Times New Roman"/>
          <w:b w:val="false"/>
          <w:i w:val="false"/>
          <w:color w:val="000000"/>
          <w:sz w:val="22"/>
        </w:rPr>
        <w:t xml:space="preserve">“Successor liability” as used in Iowa Code chapter </w:t>
      </w:r>
      <w:hyperlink r:id="rId67">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 xml:space="preserve"> and these rules occurs for the acquiring employing unit when there is a transfer of assets necessary to the continued operation of the employing unit from the predecessor to the successor and the successor continues to operate the business as though there has been no change in ownership or control.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23.28(6)</w:t>
      </w:r>
      <w:r>
        <w:rPr>
          <w:rFonts w:ascii="Times New Roman" w:hAnsi="Times New Roman"/>
          <w:b w:val="false"/>
          <w:i w:val="false"/>
          <w:color w:val="000000"/>
          <w:sz w:val="22"/>
        </w:rPr>
        <w:t> </w:t>
      </w:r>
      <w:r>
        <w:rPr>
          <w:rFonts w:ascii="Times New Roman" w:hAnsi="Times New Roman"/>
          <w:b w:val="false"/>
          <w:i w:val="false"/>
          <w:color w:val="000000"/>
          <w:sz w:val="22"/>
        </w:rPr>
        <w:t>Successor liability will be found to occur if an enterprise or business is leased to a covered employer and any party or entity purchases or assumes the covered employer’s lease, or any party or entity acquires a new lease and substantially all of the assets of the covered employer, and the new lessee continues the operation of the enterprise or business as though there had been no change in the ownership or control of the enterprise or business, such party or entity acquires the covered employer’s experience.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23.28(7)</w:t>
      </w:r>
      <w:r>
        <w:rPr>
          <w:rFonts w:ascii="Times New Roman" w:hAnsi="Times New Roman"/>
          <w:b w:val="false"/>
          <w:i w:val="false"/>
          <w:color w:val="000000"/>
          <w:sz w:val="22"/>
        </w:rPr>
        <w:t> </w:t>
      </w:r>
      <w:r>
        <w:rPr>
          <w:rFonts w:ascii="Times New Roman" w:hAnsi="Times New Roman"/>
          <w:b w:val="false"/>
          <w:i w:val="false"/>
          <w:color w:val="000000"/>
          <w:sz w:val="22"/>
        </w:rPr>
        <w:t>The department will utilize the following general criteria when establishing successorship in specialized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Where a covered employing unit is operating an enterprise or business under a lease agreement and it is terminated, there will be no transfer of the covered employing unit’s experience unless the lessor takes over and continues to operate the enterprise or business in which case the lessor will be considered the successor to the covered employer’s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an enterprise or business is leased to a covered employing unit, and the lease agreement has terminated with the lessor acquiring a new lessee, the new lessee is not considered to be a successor to the experience of the predecessor lessee unless the new lessee acquires substantially all of the assets of the predecessor lessee and the new lessee continues the operation of the enterprise or business to the same basic extent as though there had been no change in the ownership or control of the enterprise or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franchise agreement will be treated the same as a lease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bankruptcy court closes an enterprise or business, the court becomes the agent for the bankrupt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Where the court closes the enterprise or business and starts liquidating procedures, the employer’s account is placed in an inactive status subject to termination and no successorship or transfer of the employer’s experience is involved,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court appoints a trustee or receiver to continue the operation of the enterprise or business, the account address will be corrected to include the name of the trustee or receiver for mailing purposes. If the trustee or receiver obtains a new federal identification number for this business, a new account number will be established for the trustee or receiver as a successor to the original enterprise or business. If the trustee or receiver sells the enterprise or business as a going enterprise, the new owner will be a successor to the predecessor’s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a covered employer is forced out of business through foreclosure proceedings, there will be no transfer of the employer’s experience unless the mortgagee takes over the operation of the business or enterprise and continues it to the same basic extent as though there had been no basic change in the ownership control.</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8">
        <w:r>
          <w:rPr>
            <w:rStyle w:val="Hyperlink"/>
            <w:rFonts w:ascii="Times New Roman" w:hAnsi="Times New Roman"/>
            <w:b w:val="false"/>
            <w:i w:val="false"/>
            <w:color w:val="000000"/>
            <w:sz w:val="22"/>
          </w:rPr>
          <w:t>96.7(3)</w:t>
        </w:r>
      </w:hyperlink>
      <w:r>
        <w:rPr>
          <w:rFonts w:ascii="Times New Roman" w:hAnsi="Times New Roman"/>
          <w:b w:val="false"/>
          <w:i/>
          <w:color w:val="000000"/>
          <w:sz w:val="22"/>
        </w:rPr>
        <w:t xml:space="preserve">“b,” </w:t>
      </w:r>
      <w:hyperlink r:id="rId69">
        <w:r>
          <w:rPr>
            <w:rStyle w:val="Hyperlink"/>
            <w:rFonts w:ascii="Times New Roman" w:hAnsi="Times New Roman"/>
            <w:b w:val="false"/>
            <w:i w:val="false"/>
            <w:color w:val="000000"/>
            <w:sz w:val="22"/>
          </w:rPr>
          <w:t>96.8</w:t>
        </w:r>
      </w:hyperlink>
      <w:r>
        <w:rPr>
          <w:rFonts w:ascii="Times New Roman" w:hAnsi="Times New Roman"/>
          <w:b w:val="false"/>
          <w:i w:val="false"/>
          <w:color w:val="000000"/>
          <w:sz w:val="22"/>
        </w:rPr>
        <w:t xml:space="preserve"> and </w:t>
      </w:r>
      <w:hyperlink r:id="rId70">
        <w:r>
          <w:rPr>
            <w:rStyle w:val="Hyperlink"/>
            <w:rFonts w:ascii="Times New Roman" w:hAnsi="Times New Roman"/>
            <w:b w:val="false"/>
            <w:i w:val="false"/>
            <w:color w:val="000000"/>
            <w:sz w:val="22"/>
          </w:rPr>
          <w:t>96.1A(14)</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871—23.29</w:t>
      </w:r>
      <w:r>
        <w:rPr>
          <w:rFonts w:ascii="Times New Roman" w:hAnsi="Times New Roman"/>
          <w:b/>
          <w:i w:val="false"/>
          <w:color w:val="000000"/>
          <w:sz w:val="22"/>
        </w:rPr>
        <w:t xml:space="preserve">(96) </w:t>
      </w:r>
      <w:r>
        <w:rPr>
          <w:rFonts w:ascii="Times New Roman" w:hAnsi="Times New Roman"/>
          <w:b/>
          <w:i w:val="false"/>
          <w:color w:val="000000"/>
          <w:sz w:val="22"/>
        </w:rPr>
        <w:t xml:space="preserve">Transfer of entire business.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23.29(1)</w:t>
      </w:r>
      <w:r>
        <w:rPr>
          <w:rFonts w:ascii="Times New Roman" w:hAnsi="Times New Roman"/>
          <w:b w:val="false"/>
          <w:i w:val="false"/>
          <w:color w:val="000000"/>
          <w:sz w:val="22"/>
        </w:rPr>
        <w:t> </w:t>
      </w:r>
      <w:r>
        <w:rPr>
          <w:rFonts w:ascii="Times New Roman" w:hAnsi="Times New Roman"/>
          <w:b w:val="false"/>
          <w:i/>
          <w:color w:val="000000"/>
          <w:sz w:val="22"/>
        </w:rPr>
        <w:t xml:space="preserve">Notice of acquisition.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Whenever an employing unit in any manner succeeds to or acquires from an employer either the organization, trade or business or substantially all the assets thereof, and continues such organization, trade or business, such employing unit shall notify the department to transfer the account of the predecessor employer to the successor employing unit. The notification must include the name and address of the predecessor, the date of transfer, and the name and address of the successor. When the department receives the notice, or alternatively, when the department receives through other means information establishing the acquisition, the actual contribution and benefit experience and taxable payrolls of the predecessor will be transferred to the successor employing unit to determine its rate of contribution. Thereafter, benefits chargeable are charged to the account of the successor. The predecessor must notify the department of the status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one or more employing units have been reorganized, merged or consolidated into a single employing unit and the successor employing unit continues to operate the merged or consolidated enterprise, the employing units involved shall notify the department within 30 days from the date of the transaction. All entities involved in the merger shall provide the articles of merger or, if there are no articles of merger, a statement advising of the merger.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predecessor business or businesses involved in the merger shall each file a final quarterly payroll report form as soon as possible after the merger has occurred but in no case later than 30 days after the close of the quarter in which the merger was 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successor entity shall indicate whether the experience rates of all accounts are to be combined and the rate recomputed for the balance of the calendar year in which the merger took 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23.29(2)</w:t>
      </w:r>
      <w:r>
        <w:rPr>
          <w:rFonts w:ascii="Times New Roman" w:hAnsi="Times New Roman"/>
          <w:b w:val="false"/>
          <w:i w:val="false"/>
          <w:color w:val="000000"/>
          <w:sz w:val="22"/>
        </w:rPr>
        <w:t> </w:t>
      </w:r>
      <w:r>
        <w:rPr>
          <w:rFonts w:ascii="Times New Roman" w:hAnsi="Times New Roman"/>
          <w:b w:val="false"/>
          <w:i/>
          <w:color w:val="000000"/>
          <w:sz w:val="22"/>
        </w:rPr>
        <w:t xml:space="preserve">Contribution rate. </w:t>
      </w:r>
      <w:r>
        <w:rPr>
          <w:rFonts w:ascii="Times New Roman" w:hAnsi="Times New Roman"/>
          <w:b w:val="false"/>
          <w:i w:val="false"/>
          <w:color w:val="000000"/>
          <w:sz w:val="22"/>
        </w:rPr>
        <w:t>The successor’s contribution rate for the remainder of the calendar year in which an acquisition took place is determined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successor had no account prior to the transfer and the successor purchased the business of only one predecessor, or more than one predecessor with identical rates, the rate assigned will be the rate of the predecessor employer or employers.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successor had no account prior to the transfer and purchased the business of more than one predecessor with the same legal date of transfer, the rate assigned will be a computed rate based on the combined experience of all the predecessor employers.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successor in a merger had an account prior to the transfer, the rate assigned will be the successor’s current rate. However, the successor may apply for a recomputed rate based on the combined experience of all predecessors and the experience of the successor only if the legal date of transfer is prior to October 1 in the year it took place.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1">
        <w:r>
          <w:rPr>
            <w:rStyle w:val="Hyperlink"/>
            <w:rFonts w:ascii="Times New Roman" w:hAnsi="Times New Roman"/>
            <w:b w:val="false"/>
            <w:i w:val="false"/>
            <w:color w:val="000000"/>
            <w:sz w:val="22"/>
          </w:rPr>
          <w:t>96.7(2)</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871—23.30</w:t>
      </w:r>
      <w:r>
        <w:rPr>
          <w:rFonts w:ascii="Times New Roman" w:hAnsi="Times New Roman"/>
          <w:b/>
          <w:i w:val="false"/>
          <w:color w:val="000000"/>
          <w:sz w:val="22"/>
        </w:rPr>
        <w:t xml:space="preserve">(96) </w:t>
      </w:r>
      <w:r>
        <w:rPr>
          <w:rFonts w:ascii="Times New Roman" w:hAnsi="Times New Roman"/>
          <w:b/>
          <w:i w:val="false"/>
          <w:color w:val="000000"/>
          <w:sz w:val="22"/>
        </w:rPr>
        <w:t xml:space="preserve">Successorship—liability for contributions and payments in lieu of contributions. </w:t>
      </w:r>
      <w:r>
        <w:rPr>
          <w:rFonts w:ascii="Times New Roman" w:hAnsi="Times New Roman"/>
          <w:b w:val="false"/>
          <w:i w:val="false"/>
          <w:color w:val="000000"/>
          <w:sz w:val="22"/>
        </w:rPr>
        <w:t>Any employer who becomes a successor to an employer account is liable for any debt owed to the department by the predecessor at the time of the transfer. Any employer found to be successor to a reimbursable account is liable to reimburse the department for any benefits paid based on wages paid by the reimbursable employer, whether or not the successor has elected to be reimbursable or is qualified to be reimbursable.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2">
        <w:r>
          <w:rPr>
            <w:rStyle w:val="Hyperlink"/>
            <w:rFonts w:ascii="Times New Roman" w:hAnsi="Times New Roman"/>
            <w:b w:val="false"/>
            <w:i w:val="false"/>
            <w:color w:val="000000"/>
            <w:sz w:val="22"/>
          </w:rPr>
          <w:t>96.7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871—23.31</w:t>
      </w:r>
      <w:r>
        <w:rPr>
          <w:rFonts w:ascii="Times New Roman" w:hAnsi="Times New Roman"/>
          <w:b/>
          <w:i w:val="false"/>
          <w:color w:val="000000"/>
          <w:sz w:val="22"/>
        </w:rPr>
        <w:t xml:space="preserve">(96) </w:t>
      </w:r>
      <w:r>
        <w:rPr>
          <w:rFonts w:ascii="Times New Roman" w:hAnsi="Times New Roman"/>
          <w:b/>
          <w:i w:val="false"/>
          <w:color w:val="000000"/>
          <w:sz w:val="22"/>
        </w:rPr>
        <w:t xml:space="preserve">Transfer of segregable portion of an enterprise or business.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23.31(1)</w:t>
      </w:r>
      <w:r>
        <w:rPr>
          <w:rFonts w:ascii="Times New Roman" w:hAnsi="Times New Roman"/>
          <w:b w:val="false"/>
          <w:i w:val="false"/>
          <w:color w:val="000000"/>
          <w:sz w:val="22"/>
        </w:rPr>
        <w:t> </w:t>
      </w:r>
      <w:r>
        <w:rPr>
          <w:rFonts w:ascii="Times New Roman" w:hAnsi="Times New Roman"/>
          <w:b w:val="false"/>
          <w:i/>
          <w:color w:val="000000"/>
          <w:sz w:val="22"/>
        </w:rPr>
        <w:t xml:space="preserve">Application and required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Partial experience will be transferred to an employing unit that has acquired such portion only if the successor employing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Submits a registration online within 90 days of the legal date of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Provides necessary information showing the separate identity of the accounts within 30 days after request is made by the department unless the time has been extended for good cause;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Continues to operate the acquired part of the business or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Information required to demonstrate the separate identity of the account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Predecessor signed department forms 68-0068 and 68-0065 report of employer on transfer of one of two or more employing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Legal date of transfer for the portion of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Start date for the portion of the business by the predecessor.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Names, social security numbers and wages of the employees acquired for the six calendar quarters prior to the quarter in which the acquisition took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Predecessor and successor names, address, account numbers and total taxable wages and benefit charges being transferred by quarter for the 20 calendar quarters including and prior to the legal date of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successor employer to decide whether to apply for a partial transfer of experience. A partial transfer request may be withdrawn prior to the department’s notice that the transfer has been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It is the responsibility of the predecessor employer to decide whether to grant the partial transfer of experience. Permission to grant the partial transfer of experience may be withdrawn prior to the department’s notice that the transfer has been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23.31(2)</w:t>
      </w:r>
      <w:r>
        <w:rPr>
          <w:rFonts w:ascii="Times New Roman" w:hAnsi="Times New Roman"/>
          <w:b w:val="false"/>
          <w:i w:val="false"/>
          <w:color w:val="000000"/>
          <w:sz w:val="22"/>
        </w:rPr>
        <w:t> </w:t>
      </w:r>
      <w:r>
        <w:rPr>
          <w:rFonts w:ascii="Times New Roman" w:hAnsi="Times New Roman"/>
          <w:b w:val="false"/>
          <w:i/>
          <w:color w:val="000000"/>
          <w:sz w:val="22"/>
        </w:rPr>
        <w:t xml:space="preserve">Portion of reserve and payroll transferred. </w:t>
      </w:r>
      <w:r>
        <w:rPr>
          <w:rFonts w:ascii="Times New Roman" w:hAnsi="Times New Roman"/>
          <w:b w:val="false"/>
          <w:i w:val="false"/>
          <w:color w:val="000000"/>
          <w:sz w:val="22"/>
        </w:rPr>
        <w:t xml:space="preserve">When the requirements for partial transfer as defined in subrule </w:t>
      </w:r>
      <w:r>
        <w:rPr>
          <w:rFonts w:ascii="Times New Roman" w:hAnsi="Times New Roman"/>
          <w:b w:val="false"/>
          <w:i w:val="false"/>
          <w:color w:val="000000"/>
          <w:sz w:val="22"/>
        </w:rPr>
        <w:t>23.31(1)</w:t>
      </w:r>
      <w:r>
        <w:rPr>
          <w:rFonts w:ascii="Times New Roman" w:hAnsi="Times New Roman"/>
          <w:b w:val="false"/>
          <w:i w:val="false"/>
          <w:color w:val="000000"/>
          <w:sz w:val="22"/>
        </w:rPr>
        <w:t xml:space="preserve"> have been met, the transfer shall be made in accordance with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predecessor’s account has been in existence less than five years prior to the legal date of transfer (or more than five years when records are available), the information necessary to calculate future rates will be transferred;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predecessor’s account has been in existence more than five years (and records prior to five years are unavailable) and the acquired portion has also been in existence more than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actual taxable wages, and benefit charges attributable to the acquired portion for the five-year period prior to the legal date of transfer will be transferred, plus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portion of the predecessor’s benefit charges for the period commencing with the beginning date of the predecessor’s account and ending five years prior to the legal date of transfer equal to the ratio of the taxable wages attributable to the acquired predecessor for the 12 completed calendar quarters immediately preceding the legal date of transfer to the total taxable wages reported by the predecessor for the same 12-quarter period,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individual wage records attributable to the acquired portion;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predecessor’s account has been in existence more than five years but the acquired portion came into existence within the last five years, the actual taxable wages, benefit charges, and individual wage records attributable to the acquired portion will be transferred;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the case of governmental transfers in addition to the items listed above, contributions and interest earned must be transferred for all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23.31(3)</w:t>
      </w:r>
      <w:r>
        <w:rPr>
          <w:rFonts w:ascii="Times New Roman" w:hAnsi="Times New Roman"/>
          <w:b w:val="false"/>
          <w:i w:val="false"/>
          <w:color w:val="000000"/>
          <w:sz w:val="22"/>
        </w:rPr>
        <w:t> </w:t>
      </w:r>
      <w:r>
        <w:rPr>
          <w:rFonts w:ascii="Times New Roman" w:hAnsi="Times New Roman"/>
          <w:b w:val="false"/>
          <w:i/>
          <w:color w:val="000000"/>
          <w:sz w:val="22"/>
        </w:rPr>
        <w:t xml:space="preserve">Future benefit charges based on wages paid by the predecessor prior to the acquisition or purchase date. </w:t>
      </w:r>
      <w:r>
        <w:rPr>
          <w:rFonts w:ascii="Times New Roman" w:hAnsi="Times New Roman"/>
          <w:b w:val="false"/>
          <w:i w:val="false"/>
          <w:color w:val="000000"/>
          <w:sz w:val="22"/>
        </w:rPr>
        <w:t>The successor employer will be charged for future benefits based on the wage credits transferred to its account for the six-quarter period prior to the acquisition date plus any benefit charges based on wages attributable to the acquired portion prior to the six-quarter period on claims already filed on the date of the acquisition.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23.31(4)</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approval or denial of transfer and appeals.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review of the application and information indicating a partial transfer, the department will issue a decision approving or denying the transfer. A determination approving a partial transfer request will include the current year’s unemployment tax rates for both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department finds that the acquisition of a business or a severable portion thereof was made solely or primarily for the purpose of obtaining a more favorable rate of contribution (e.g., the department fails to find any reasonable business purpose for the acquisition other than a more favorable contribution rate), the transfer will not be approved.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denial of a partial transfer is final and shall become conclusive and binding upon both the predecessor and successor unless one or both of them file an appeal according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23.31(5)</w:t>
      </w:r>
      <w:r>
        <w:rPr>
          <w:rFonts w:ascii="Times New Roman" w:hAnsi="Times New Roman"/>
          <w:b w:val="false"/>
          <w:i w:val="false"/>
          <w:color w:val="000000"/>
          <w:sz w:val="22"/>
        </w:rPr>
        <w:t> </w:t>
      </w:r>
      <w:r>
        <w:rPr>
          <w:rFonts w:ascii="Times New Roman" w:hAnsi="Times New Roman"/>
          <w:b w:val="false"/>
          <w:i/>
          <w:color w:val="000000"/>
          <w:sz w:val="22"/>
        </w:rPr>
        <w:t xml:space="preserve">Liability of successor for contribution. </w:t>
      </w:r>
      <w:r>
        <w:rPr>
          <w:rFonts w:ascii="Times New Roman" w:hAnsi="Times New Roman"/>
          <w:b w:val="false"/>
          <w:i w:val="false"/>
          <w:color w:val="000000"/>
          <w:sz w:val="22"/>
        </w:rPr>
        <w:t>Any individual or organization, whether or not an employing unit, that is determined by the department to be a successor is liable for the payment of contribution, interest and penalty due from the predecessor if the department concludes that such contributions cannot be collected from the predecessor.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3">
        <w:r>
          <w:rPr>
            <w:rStyle w:val="Hyperlink"/>
            <w:rFonts w:ascii="Times New Roman" w:hAnsi="Times New Roman"/>
            <w:b w:val="false"/>
            <w:i w:val="false"/>
            <w:color w:val="000000"/>
            <w:sz w:val="22"/>
          </w:rPr>
          <w:t>96.7(3)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871—23.32</w:t>
      </w:r>
      <w:r>
        <w:rPr>
          <w:rFonts w:ascii="Times New Roman" w:hAnsi="Times New Roman"/>
          <w:b/>
          <w:i w:val="false"/>
          <w:color w:val="000000"/>
          <w:sz w:val="22"/>
        </w:rPr>
        <w:t xml:space="preserve">(96) </w:t>
      </w:r>
      <w:r>
        <w:rPr>
          <w:rFonts w:ascii="Times New Roman" w:hAnsi="Times New Roman"/>
          <w:b/>
          <w:i w:val="false"/>
          <w:color w:val="000000"/>
          <w:sz w:val="22"/>
        </w:rPr>
        <w:t xml:space="preserve">Mandatory and prohibited successorships.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23.32(1)</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applies to the mandatory successorship in Iowa Code section </w:t>
      </w:r>
      <w:hyperlink r:id="rId74">
        <w:r>
          <w:rPr>
            <w:rStyle w:val="Hyperlink"/>
            <w:rFonts w:ascii="Times New Roman" w:hAnsi="Times New Roman"/>
            <w:b w:val="false"/>
            <w:i w:val="false"/>
            <w:color w:val="000000"/>
            <w:sz w:val="22"/>
          </w:rPr>
          <w:t>96.7(2)</w:t>
        </w:r>
      </w:hyperlink>
      <w:r>
        <w:rPr>
          <w:rFonts w:ascii="Times New Roman" w:hAnsi="Times New Roman"/>
          <w:b w:val="false"/>
          <w:i/>
          <w:color w:val="000000"/>
          <w:sz w:val="22"/>
        </w:rPr>
        <w:t>“b”</w:t>
      </w:r>
      <w:r>
        <w:rPr>
          <w:rFonts w:ascii="Times New Roman" w:hAnsi="Times New Roman"/>
          <w:b w:val="false"/>
          <w:i w:val="false"/>
          <w:color w:val="000000"/>
          <w:sz w:val="22"/>
        </w:rPr>
        <w:t xml:space="preserve">(2) and the prohibited successorship in Iowa Code section </w:t>
      </w:r>
      <w:hyperlink r:id="rId75">
        <w:r>
          <w:rPr>
            <w:rStyle w:val="Hyperlink"/>
            <w:rFonts w:ascii="Times New Roman" w:hAnsi="Times New Roman"/>
            <w:b w:val="false"/>
            <w:i w:val="false"/>
            <w:color w:val="000000"/>
            <w:sz w:val="22"/>
          </w:rPr>
          <w:t>96.7(2)</w:t>
        </w:r>
      </w:hyperlink>
      <w:r>
        <w:rPr>
          <w:rFonts w:ascii="Times New Roman" w:hAnsi="Times New Roman"/>
          <w:b w:val="false"/>
          <w:i/>
          <w:color w:val="000000"/>
          <w:sz w:val="22"/>
        </w:rPr>
        <w:t>“b”</w:t>
      </w:r>
      <w:r>
        <w:rPr>
          <w:rFonts w:ascii="Times New Roman" w:hAnsi="Times New Roman"/>
          <w:b w:val="false"/>
          <w:i w:val="false"/>
          <w:color w:val="000000"/>
          <w:sz w:val="22"/>
        </w:rPr>
        <w:t>(3). If one employing unit receives the organization, trade or business, or a portion thereof of an employing unit and there is substantially common ownership, management or control of the two, the attributable unemployment experience will be transferred. This rule does not require a transfer of substantially all of the assets nor does it require the transferred portion to be segregable or identifiable. The acquiring employer must continue to operate the organization, trade or business or must transfer operation to an entity with substantially common ownership, management or control with the acquiring entity. Mandatory successorship also applies when the acquirer was not an employing unit prior to the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transfer of staff and the business activity of that staff to an acquiring employer unit that continues to operate the portion of the business will establish mandatory successor liability.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mandatory and prohibited successorships contained in Iowa Code section </w:t>
      </w:r>
      <w:hyperlink r:id="rId76">
        <w:r>
          <w:rPr>
            <w:rStyle w:val="Hyperlink"/>
            <w:rFonts w:ascii="Times New Roman" w:hAnsi="Times New Roman"/>
            <w:b w:val="false"/>
            <w:i w:val="false"/>
            <w:color w:val="000000"/>
            <w:sz w:val="22"/>
          </w:rPr>
          <w:t>96.7(2)</w:t>
        </w:r>
      </w:hyperlink>
      <w:r>
        <w:rPr>
          <w:rFonts w:ascii="Times New Roman" w:hAnsi="Times New Roman"/>
          <w:b w:val="false"/>
          <w:i/>
          <w:color w:val="000000"/>
          <w:sz w:val="22"/>
        </w:rPr>
        <w:t>“b”</w:t>
      </w:r>
      <w:r>
        <w:rPr>
          <w:rFonts w:ascii="Times New Roman" w:hAnsi="Times New Roman"/>
          <w:b w:val="false"/>
          <w:i w:val="false"/>
          <w:color w:val="000000"/>
          <w:sz w:val="22"/>
        </w:rPr>
        <w:t xml:space="preserve">(2) and </w:t>
      </w:r>
      <w:r>
        <w:rPr>
          <w:rFonts w:ascii="Times New Roman" w:hAnsi="Times New Roman"/>
          <w:b w:val="false"/>
          <w:i w:val="false"/>
          <w:color w:val="000000"/>
          <w:sz w:val="22"/>
        </w:rPr>
        <w:t>96.7(2)</w:t>
      </w:r>
      <w:r>
        <w:rPr>
          <w:rFonts w:ascii="Times New Roman" w:hAnsi="Times New Roman"/>
          <w:b w:val="false"/>
          <w:i/>
          <w:color w:val="000000"/>
          <w:sz w:val="22"/>
        </w:rPr>
        <w:t>“b”</w:t>
      </w:r>
      <w:r>
        <w:rPr>
          <w:rFonts w:ascii="Times New Roman" w:hAnsi="Times New Roman"/>
          <w:b w:val="false"/>
          <w:i w:val="false"/>
          <w:color w:val="000000"/>
          <w:sz w:val="22"/>
        </w:rPr>
        <w:t xml:space="preserve">(3) apply to corporations, limited liability companies, government or governmental subdivisions or agencies, business trusts, estates, trusts, partnerships, sole proprietorships or associations, or any other legal entity as defined in Iowa Code chapter </w:t>
      </w:r>
      <w:hyperlink r:id="rId77">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“Substantially common ownership, management or control” is determined from the facts of a particular case. Among the factors to be considered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authority to make policy decisions.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authority to perform personnel 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Direction and control of the day-to-day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Financial investment.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Substantial or complete ownership by the same legal entity or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Ability to conduct or liability for financial transactions on behalf of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Authority to commit the business assets.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Common management, which may include direction or overall supervision by an individual or group of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For a mandatory full successorship, the tax rate shall be established as provided in subrule </w:t>
      </w:r>
      <w:r>
        <w:rPr>
          <w:rFonts w:ascii="Times New Roman" w:hAnsi="Times New Roman"/>
          <w:b w:val="false"/>
          <w:i w:val="false"/>
          <w:color w:val="000000"/>
          <w:sz w:val="22"/>
        </w:rPr>
        <w:t>23.29(2)</w:t>
      </w:r>
      <w:r>
        <w:rPr>
          <w:rFonts w:ascii="Times New Roman" w:hAnsi="Times New Roman"/>
          <w:b w:val="false"/>
          <w:i w:val="false"/>
          <w:color w:val="000000"/>
          <w:sz w:val="22"/>
        </w:rPr>
        <w:t xml:space="preserve">, and for a mandatory partial successorship, the tax rate shall be established as provided in subrule </w:t>
      </w:r>
      <w:r>
        <w:rPr>
          <w:rFonts w:ascii="Times New Roman" w:hAnsi="Times New Roman"/>
          <w:b w:val="false"/>
          <w:i w:val="false"/>
          <w:color w:val="000000"/>
          <w:sz w:val="22"/>
        </w:rPr>
        <w:t>23.32(4)</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23.32(2)</w:t>
      </w:r>
      <w:r>
        <w:rPr>
          <w:rFonts w:ascii="Times New Roman" w:hAnsi="Times New Roman"/>
          <w:b w:val="false"/>
          <w:i w:val="false"/>
          <w:color w:val="000000"/>
          <w:sz w:val="22"/>
        </w:rPr>
        <w:t> </w:t>
      </w:r>
      <w:r>
        <w:rPr>
          <w:rFonts w:ascii="Times New Roman" w:hAnsi="Times New Roman"/>
          <w:b w:val="false"/>
          <w:i w:val="false"/>
          <w:color w:val="000000"/>
          <w:sz w:val="22"/>
        </w:rPr>
        <w:t xml:space="preserve">In determining whether or not an acquiring entity continues to operate an organization, trade or business as used in Iowa Code section </w:t>
      </w:r>
      <w:hyperlink r:id="rId78">
        <w:r>
          <w:rPr>
            <w:rStyle w:val="Hyperlink"/>
            <w:rFonts w:ascii="Times New Roman" w:hAnsi="Times New Roman"/>
            <w:b w:val="false"/>
            <w:i w:val="false"/>
            <w:color w:val="000000"/>
            <w:sz w:val="22"/>
          </w:rPr>
          <w:t>96.7(2)</w:t>
        </w:r>
      </w:hyperlink>
      <w:r>
        <w:rPr>
          <w:rFonts w:ascii="Times New Roman" w:hAnsi="Times New Roman"/>
          <w:b w:val="false"/>
          <w:i/>
          <w:color w:val="000000"/>
          <w:sz w:val="22"/>
        </w:rPr>
        <w:t>“b”</w:t>
      </w:r>
      <w:r>
        <w:rPr>
          <w:rFonts w:ascii="Times New Roman" w:hAnsi="Times New Roman"/>
          <w:b w:val="false"/>
          <w:i w:val="false"/>
          <w:color w:val="000000"/>
          <w:sz w:val="22"/>
        </w:rPr>
        <w:t>(2), the following rules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acquiring entity continues the ongoing business operation (taking into account any seasonal or prior operational pattern) and continues the same business activity as the prior employer. A temporary cessation of the business activity by the acquiring entity will not constitute a discontinuance of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acquiring entity, not having operated the business, reassigns or otherwise transfers the operation of the business to a third-party entity that has substantially common ownership, management or control with the acquiring entity. The third party is considered to be continuing the operation of the original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23.32(3)</w:t>
      </w:r>
      <w:r>
        <w:rPr>
          <w:rFonts w:ascii="Times New Roman" w:hAnsi="Times New Roman"/>
          <w:b w:val="false"/>
          <w:i w:val="false"/>
          <w:color w:val="000000"/>
          <w:sz w:val="22"/>
        </w:rPr>
        <w:t> </w:t>
      </w:r>
      <w:r>
        <w:rPr>
          <w:rFonts w:ascii="Times New Roman" w:hAnsi="Times New Roman"/>
          <w:b w:val="false"/>
          <w:i w:val="false"/>
          <w:color w:val="000000"/>
          <w:sz w:val="22"/>
        </w:rPr>
        <w:t xml:space="preserve">Prohibited successor liability. Successor liability is prohibited when the department finds that a legal entity that is not subject to Iowa Code chapter </w:t>
      </w:r>
      <w:hyperlink r:id="rId79">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 xml:space="preserve"> at the time of acquisition (regardless of whether common ownership, management or control exists) acquires an organization, trade or business solely or primarily for the purpose of obtaining a lower rate of contribution. Factors to be considered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existing employer account has a tax rate less than would be assigned to a new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cost of acquiring the organization, trade or business as compared with any potential savings in contributions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acquiring entity substantially changed the organization, trade or business after a short period of time,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substantial number of new employees were hired to perform duties unrelated to the organization, trade or business operated prior to the acquisition.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23.32(4)</w:t>
      </w:r>
      <w:r>
        <w:rPr>
          <w:rFonts w:ascii="Times New Roman" w:hAnsi="Times New Roman"/>
          <w:b w:val="false"/>
          <w:i w:val="false"/>
          <w:color w:val="000000"/>
          <w:sz w:val="22"/>
        </w:rPr>
        <w:t> </w:t>
      </w:r>
      <w:r>
        <w:rPr>
          <w:rFonts w:ascii="Times New Roman" w:hAnsi="Times New Roman"/>
          <w:b w:val="false"/>
          <w:i w:val="false"/>
          <w:color w:val="000000"/>
          <w:sz w:val="22"/>
        </w:rPr>
        <w:t>When a mandatory transfer of a portion of a business occurs, the successor’s experience and contribution rate will be determined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experience transferred to the acquiring employing unit will be based on the percentage of employees moving from the predecessor to that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percentage will be computed by comparing the number of employees on the successor’s first quarterly report covering a complete calendar quarter to the average number of employees on the four complete quarterly reports filed by the predecessor immediately preceding the transfer. The average number of employees will be computed using only the predecessor’s reports that have wages paid during those four quarters.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Using this percentage, taxable wages and benefit charges, commencing with the beginning date of the predecessor’s account, will be transferred from the predecessor’s account to the successor’s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successor had no account prior to the transfer, the rate assigned will be the rate of the predecessor for the remainder of the calendar year beginning with the date of acquisition.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successor already had an account prior to the transfer, the rate for the balance of the year in which the transfer took place will be recomputed by combining the transferred experience with the employer’s own experience as of the last computation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the years following the year of acquisition, the rates will be computed using the experience of the employer combined with the transferred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Future benefit(s) will be charged to the base period employer who reported the base period wages.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will issue a notification when the partial transfer has been completed. The determination will include notice to both parties as to their contribution rate for the current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Any rate determination resulting from a partial transfer will become final unless one or both of the parties file an appeal. Specific procedures and requirements for perfecting an employer liability determination appeal are contained in rule </w:t>
      </w:r>
      <w:hyperlink r:id="rId80">
        <w:r>
          <w:rPr>
            <w:rStyle w:val="Hyperlink"/>
            <w:rFonts w:ascii="Times New Roman" w:hAnsi="Times New Roman"/>
            <w:b w:val="false"/>
            <w:i w:val="false"/>
            <w:color w:val="000000"/>
            <w:sz w:val="22"/>
          </w:rPr>
          <w:t>871—23.52</w:t>
        </w:r>
      </w:hyperlink>
      <w:r>
        <w:rPr>
          <w:rFonts w:ascii="Times New Roman" w:hAnsi="Times New Roman"/>
          <w:b w:val="false"/>
          <w:i w:val="false"/>
          <w:color w:val="000000"/>
          <w:sz w:val="22"/>
        </w:rPr>
        <w:t>(96).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 the case of governmental transfers in addition to the items listed above, contributions and interest earned must be transferred for all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23.32(5)</w:t>
      </w:r>
      <w:r>
        <w:rPr>
          <w:rFonts w:ascii="Times New Roman" w:hAnsi="Times New Roman"/>
          <w:b w:val="false"/>
          <w:i w:val="false"/>
          <w:color w:val="000000"/>
          <w:sz w:val="22"/>
        </w:rPr>
        <w:t> </w:t>
      </w:r>
      <w:r>
        <w:rPr>
          <w:rFonts w:ascii="Times New Roman" w:hAnsi="Times New Roman"/>
          <w:b w:val="false"/>
          <w:i w:val="false"/>
          <w:color w:val="000000"/>
          <w:sz w:val="22"/>
        </w:rPr>
        <w:t xml:space="preserve">Penalty contribution rate. The department may assess a penalty contribution rate of 2 percent for the current year and two subsequent years for an employer that the department finds has attempted to manipulate and circumvent the proper unemployment tax rate as provided in Iowa Code section </w:t>
      </w:r>
      <w:hyperlink r:id="rId81">
        <w:r>
          <w:rPr>
            <w:rStyle w:val="Hyperlink"/>
            <w:rFonts w:ascii="Times New Roman" w:hAnsi="Times New Roman"/>
            <w:b w:val="false"/>
            <w:i w:val="false"/>
            <w:color w:val="000000"/>
            <w:sz w:val="22"/>
          </w:rPr>
          <w:t>96.7(2)</w:t>
        </w:r>
      </w:hyperlink>
      <w:r>
        <w:rPr>
          <w:rFonts w:ascii="Times New Roman" w:hAnsi="Times New Roman"/>
          <w:b w:val="false"/>
          <w:i/>
          <w:color w:val="000000"/>
          <w:sz w:val="22"/>
        </w:rPr>
        <w:t>“b”</w:t>
      </w:r>
      <w:r>
        <w:rPr>
          <w:rFonts w:ascii="Times New Roman" w:hAnsi="Times New Roman"/>
          <w:b w:val="false"/>
          <w:i w:val="false"/>
          <w:color w:val="000000"/>
          <w:sz w:val="22"/>
        </w:rPr>
        <w:t xml:space="preserve">(2) and </w:t>
      </w:r>
      <w:hyperlink r:id="rId82">
        <w:r>
          <w:rPr>
            <w:rStyle w:val="Hyperlink"/>
            <w:rFonts w:ascii="Times New Roman" w:hAnsi="Times New Roman"/>
            <w:b w:val="false"/>
            <w:i w:val="false"/>
            <w:color w:val="000000"/>
            <w:sz w:val="22"/>
          </w:rPr>
          <w:t>96.7(2)</w:t>
        </w:r>
      </w:hyperlink>
      <w:r>
        <w:rPr>
          <w:rFonts w:ascii="Times New Roman" w:hAnsi="Times New Roman"/>
          <w:b w:val="false"/>
          <w:i/>
          <w:color w:val="000000"/>
          <w:sz w:val="22"/>
        </w:rPr>
        <w:t>“b”</w:t>
      </w:r>
      <w:r>
        <w:rPr>
          <w:rFonts w:ascii="Times New Roman" w:hAnsi="Times New Roman"/>
          <w:b w:val="false"/>
          <w:i w:val="false"/>
          <w:color w:val="000000"/>
          <w:sz w:val="22"/>
        </w:rPr>
        <w:t>(3) by deliberate nondisclosure of a material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employer will be notified of the penalty contribution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after a liability determination has been issued, the department discovers, based upon new facts not available to the department at the time the determination was made, that a previously nonliable entity acquired a business solely or primarily to obtain a lower tax rate, the department will amend the original determination and assign a new employer rate and may provide a penalty contribution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Interest will accrue on unpaid penalty contributions in the same manner as on regular contributions.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3">
        <w:r>
          <w:rPr>
            <w:rStyle w:val="Hyperlink"/>
            <w:rFonts w:ascii="Times New Roman" w:hAnsi="Times New Roman"/>
            <w:b w:val="false"/>
            <w:i w:val="false"/>
            <w:color w:val="000000"/>
            <w:sz w:val="22"/>
          </w:rPr>
          <w:t>96.7(2)</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hyperlink r:id="rId84">
        <w:r>
          <w:rPr>
            <w:rStyle w:val="Hyperlink"/>
            <w:rFonts w:ascii="Times New Roman" w:hAnsi="Times New Roman"/>
            <w:b w:val="false"/>
            <w:i w:val="false"/>
            <w:color w:val="000000"/>
            <w:sz w:val="22"/>
          </w:rPr>
          <w:t>96.16(5)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871—23.33</w:t>
      </w:r>
      <w:r>
        <w:rPr>
          <w:rFonts w:ascii="Times New Roman" w:hAnsi="Times New Roman"/>
          <w:b w:val="false"/>
          <w:i w:val="false"/>
          <w:color w:val="000000"/>
          <w:sz w:val="22"/>
        </w:rPr>
        <w:t xml:space="preserve"> to </w:t>
      </w:r>
      <w:r>
        <w:rPr>
          <w:rFonts w:ascii="Times New Roman" w:hAnsi="Times New Roman"/>
          <w:b/>
          <w:i w:val="false"/>
          <w:color w:val="000000"/>
          <w:sz w:val="22"/>
        </w:rPr>
        <w:t>23.35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871—23.36</w:t>
      </w:r>
      <w:r>
        <w:rPr>
          <w:rFonts w:ascii="Times New Roman" w:hAnsi="Times New Roman"/>
          <w:b/>
          <w:i w:val="false"/>
          <w:color w:val="000000"/>
          <w:sz w:val="22"/>
        </w:rPr>
        <w:t xml:space="preserve">(96) </w:t>
      </w:r>
      <w:r>
        <w:rPr>
          <w:rFonts w:ascii="Times New Roman" w:hAnsi="Times New Roman"/>
          <w:b/>
          <w:i w:val="false"/>
          <w:color w:val="000000"/>
          <w:sz w:val="22"/>
        </w:rPr>
        <w:t xml:space="preserve">Predecessor—contribution rates for winding down a business. </w:t>
      </w:r>
      <w:r>
        <w:rPr>
          <w:rFonts w:ascii="Times New Roman" w:hAnsi="Times New Roman"/>
          <w:b w:val="false"/>
          <w:i w:val="false"/>
          <w:color w:val="000000"/>
          <w:sz w:val="22"/>
        </w:rPr>
        <w:t xml:space="preserve">If a predecessor has transferred its organization, trade, or business, or substantially all assets, to a successor, and the predecessor continues to operate a part of the business in order to wind down or close the business after the legal date of transfer, the predecessor will be issued a new account number and treated as a new employer for wages paid beyond four quarters after the legal date of transfer. “Wind down wages” do not include wages earned before the sale or transfer of the business that were paid out within the four quarters after the quarter in which the sale or transfer took place.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5">
        <w:r>
          <w:rPr>
            <w:rStyle w:val="Hyperlink"/>
            <w:rFonts w:ascii="Times New Roman" w:hAnsi="Times New Roman"/>
            <w:b w:val="false"/>
            <w:i w:val="false"/>
            <w:color w:val="000000"/>
            <w:sz w:val="22"/>
          </w:rPr>
          <w:t>96.8(1)</w:t>
        </w:r>
      </w:hyperlink>
      <w:r>
        <w:rPr>
          <w:rFonts w:ascii="Times New Roman" w:hAnsi="Times New Roman"/>
          <w:b w:val="false"/>
          <w:i w:val="false"/>
          <w:color w:val="000000"/>
          <w:sz w:val="22"/>
        </w:rPr>
        <w:t xml:space="preserve"> and </w:t>
      </w:r>
      <w:hyperlink r:id="rId86">
        <w:r>
          <w:rPr>
            <w:rStyle w:val="Hyperlink"/>
            <w:rFonts w:ascii="Times New Roman" w:hAnsi="Times New Roman"/>
            <w:b w:val="false"/>
            <w:i w:val="false"/>
            <w:color w:val="000000"/>
            <w:sz w:val="22"/>
          </w:rPr>
          <w:t>96.8(4)</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871—23.37</w:t>
      </w:r>
      <w:r>
        <w:rPr>
          <w:rFonts w:ascii="Times New Roman" w:hAnsi="Times New Roman"/>
          <w:b/>
          <w:i w:val="false"/>
          <w:color w:val="000000"/>
          <w:sz w:val="22"/>
        </w:rPr>
        <w:t xml:space="preserve">(96) </w:t>
      </w:r>
      <w:r>
        <w:rPr>
          <w:rFonts w:ascii="Times New Roman" w:hAnsi="Times New Roman"/>
          <w:b/>
          <w:i w:val="false"/>
          <w:color w:val="000000"/>
          <w:sz w:val="22"/>
        </w:rPr>
        <w:t xml:space="preserve">Adjustments and refunds of contributions.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23.37(1)</w:t>
      </w:r>
      <w:r>
        <w:rPr>
          <w:rFonts w:ascii="Times New Roman" w:hAnsi="Times New Roman"/>
          <w:b w:val="false"/>
          <w:i w:val="false"/>
          <w:color w:val="000000"/>
          <w:sz w:val="22"/>
        </w:rPr>
        <w:t> </w:t>
      </w:r>
      <w:r>
        <w:rPr>
          <w:rFonts w:ascii="Times New Roman" w:hAnsi="Times New Roman"/>
          <w:b w:val="false"/>
          <w:i w:val="false"/>
          <w:color w:val="000000"/>
          <w:sz w:val="22"/>
        </w:rPr>
        <w:t>If an employer, after submitting a quarterly unemployment tax report, discovers an error that results in an overpayment of contribution due and owing, such employer may file an application for credit allowance or refund. If the department discovers that the contribution submitted by any employer is incorrect, resulting in overpayment of contribution, it may on its own initiative refund or make a credit allowance. No refund or credit will be made after three years from the date on which the overpayment was made. The employer will submit a wage adjustment to show corrections for the employee wage lines impacted, corrected total and taxable wages, and an explanation for the wage adjustment.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23.37(2)</w:t>
      </w:r>
      <w:r>
        <w:rPr>
          <w:rFonts w:ascii="Times New Roman" w:hAnsi="Times New Roman"/>
          <w:b w:val="false"/>
          <w:i w:val="false"/>
          <w:color w:val="000000"/>
          <w:sz w:val="22"/>
        </w:rPr>
        <w:t> </w:t>
      </w:r>
      <w:r>
        <w:rPr>
          <w:rFonts w:ascii="Times New Roman" w:hAnsi="Times New Roman"/>
          <w:b w:val="false"/>
          <w:i w:val="false"/>
          <w:color w:val="000000"/>
          <w:sz w:val="22"/>
        </w:rPr>
        <w:t>If an employer submits a quarterly unemployment tax report that understates the amount of wages paid in a calendar quarter, the employer will submit a wage adjustment for the period and make payment for all additional contributions, penalty and interest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it is apparent, upon review of wages reported or adjusted, that an employer has overpaid contribution, the department may make an adjustment and issue a credit within three years from the date of the overpayment. If an employer has multiple accounts, any credit may be moved to an account where there is a balance due.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an employer discovers that it may have overpaid contribution, it may submit a request for credit within three years from the date on which the overpayment was made. The department will review the request and, if it determines an adjustment is required, shall issue a credit or refund for the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23.37(3)</w:t>
      </w:r>
      <w:r>
        <w:rPr>
          <w:rFonts w:ascii="Times New Roman" w:hAnsi="Times New Roman"/>
          <w:b w:val="false"/>
          <w:i w:val="false"/>
          <w:color w:val="000000"/>
          <w:sz w:val="22"/>
        </w:rPr>
        <w:t> </w:t>
      </w:r>
      <w:r>
        <w:rPr>
          <w:rFonts w:ascii="Times New Roman" w:hAnsi="Times New Roman"/>
          <w:b w:val="false"/>
          <w:i w:val="false"/>
          <w:color w:val="000000"/>
          <w:sz w:val="22"/>
        </w:rPr>
        <w:t>A valid credit will be applied to an outstanding balance due on an unemployment tax account. If an employer has multiple accounts, a credit can be moved to a different account where debt might be owed. An employer may request a refund of the credit within three years from the date the credit was created. If the credit is not requested within three years, it will be canceled by the department. Upon request of the employer or at the discretion of the department, a refund can be issued for any overpayment. If the employer fails to utilize the credit as provided above, the department shall, three years from the date of issuance, cancel the credit and show it as a nonrefundable credit. Warrants are issued by the state comptroller.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7">
        <w:r>
          <w:rPr>
            <w:rStyle w:val="Hyperlink"/>
            <w:rFonts w:ascii="Times New Roman" w:hAnsi="Times New Roman"/>
            <w:b w:val="false"/>
            <w:i w:val="false"/>
            <w:color w:val="000000"/>
            <w:sz w:val="22"/>
          </w:rPr>
          <w:t>96.14(5)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871—23.38</w:t>
      </w:r>
      <w:r>
        <w:rPr>
          <w:rFonts w:ascii="Times New Roman" w:hAnsi="Times New Roman"/>
          <w:b/>
          <w:i w:val="false"/>
          <w:color w:val="000000"/>
          <w:sz w:val="22"/>
        </w:rPr>
        <w:t xml:space="preserve">(96) </w:t>
      </w:r>
      <w:r>
        <w:rPr>
          <w:rFonts w:ascii="Times New Roman" w:hAnsi="Times New Roman"/>
          <w:b/>
          <w:i w:val="false"/>
          <w:color w:val="000000"/>
          <w:sz w:val="22"/>
        </w:rPr>
        <w:t xml:space="preserve">Denial of claim for refund or credit. </w:t>
      </w:r>
      <w:r>
        <w:rPr>
          <w:rFonts w:ascii="Times New Roman" w:hAnsi="Times New Roman"/>
          <w:b w:val="false"/>
          <w:i w:val="false"/>
          <w:color w:val="000000"/>
          <w:sz w:val="22"/>
        </w:rPr>
        <w:t xml:space="preserve">If the department requests proof of the validity of any claimed credit, and the employing unit fails to provide the proof within 30 days, the claim will be denied unless the department has provided an extension of time to provide the information.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8">
        <w:r>
          <w:rPr>
            <w:rStyle w:val="Hyperlink"/>
            <w:rFonts w:ascii="Times New Roman" w:hAnsi="Times New Roman"/>
            <w:b w:val="false"/>
            <w:i w:val="false"/>
            <w:color w:val="000000"/>
            <w:sz w:val="22"/>
          </w:rPr>
          <w:t>96.14(5)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871—23.39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871—23.40</w:t>
      </w:r>
      <w:r>
        <w:rPr>
          <w:rFonts w:ascii="Times New Roman" w:hAnsi="Times New Roman"/>
          <w:b/>
          <w:i w:val="false"/>
          <w:color w:val="000000"/>
          <w:sz w:val="22"/>
        </w:rPr>
        <w:t xml:space="preserve">(96) </w:t>
      </w:r>
      <w:r>
        <w:rPr>
          <w:rFonts w:ascii="Times New Roman" w:hAnsi="Times New Roman"/>
          <w:b/>
          <w:i w:val="false"/>
          <w:color w:val="000000"/>
          <w:sz w:val="22"/>
        </w:rPr>
        <w:t xml:space="preserve">Computation of rates for private sector employer. </w:t>
      </w:r>
      <w:r>
        <w:rPr>
          <w:rFonts w:ascii="Times New Roman" w:hAnsi="Times New Roman"/>
          <w:b w:val="false"/>
          <w:i w:val="false"/>
          <w:color w:val="000000"/>
          <w:sz w:val="22"/>
        </w:rPr>
        <w:t>An employer’s experience rate shall be computed by dividing the average of all benefits charged to an employer during the five periods of four consecutive calendar quarters immediately preceding July 31 of each year by the employer’s five-year average annual taxable payroll to determine its benefit ratio. This ratio is then applied to the current tax rate table to determine the employer’s contribution rate for the next calendar year. Contributory Indian tribes are considered private sector employers for the purpose of computing their contribution rate.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9">
        <w:r>
          <w:rPr>
            <w:rStyle w:val="Hyperlink"/>
            <w:rFonts w:ascii="Times New Roman" w:hAnsi="Times New Roman"/>
            <w:b w:val="false"/>
            <w:i w:val="false"/>
            <w:color w:val="000000"/>
            <w:sz w:val="22"/>
          </w:rPr>
          <w:t>96.7(2)</w:t>
        </w:r>
      </w:hyperlink>
      <w:r>
        <w:rPr>
          <w:rFonts w:ascii="Times New Roman" w:hAnsi="Times New Roman"/>
          <w:b w:val="false"/>
          <w:i w:val="false"/>
          <w:color w:val="000000"/>
          <w:sz w:val="22"/>
        </w:rPr>
        <w:t xml:space="preserve">, </w:t>
      </w:r>
      <w:hyperlink r:id="rId90">
        <w:r>
          <w:rPr>
            <w:rStyle w:val="Hyperlink"/>
            <w:rFonts w:ascii="Times New Roman" w:hAnsi="Times New Roman"/>
            <w:b w:val="false"/>
            <w:i w:val="false"/>
            <w:color w:val="000000"/>
            <w:sz w:val="22"/>
          </w:rPr>
          <w:t>96.7(11)</w:t>
        </w:r>
      </w:hyperlink>
      <w:r>
        <w:rPr>
          <w:rFonts w:ascii="Times New Roman" w:hAnsi="Times New Roman"/>
          <w:b w:val="false"/>
          <w:i w:val="false"/>
          <w:color w:val="000000"/>
          <w:sz w:val="22"/>
        </w:rPr>
        <w:t xml:space="preserve">, </w:t>
      </w:r>
      <w:hyperlink r:id="rId91">
        <w:r>
          <w:rPr>
            <w:rStyle w:val="Hyperlink"/>
            <w:rFonts w:ascii="Times New Roman" w:hAnsi="Times New Roman"/>
            <w:b w:val="false"/>
            <w:i w:val="false"/>
            <w:color w:val="000000"/>
            <w:sz w:val="22"/>
          </w:rPr>
          <w:t>96.7(12)</w:t>
        </w:r>
      </w:hyperlink>
      <w:r>
        <w:rPr>
          <w:rFonts w:ascii="Times New Roman" w:hAnsi="Times New Roman"/>
          <w:b w:val="false"/>
          <w:i w:val="false"/>
          <w:color w:val="000000"/>
          <w:sz w:val="22"/>
        </w:rPr>
        <w:t xml:space="preserve"> and </w:t>
      </w:r>
      <w:hyperlink r:id="rId92">
        <w:r>
          <w:rPr>
            <w:rStyle w:val="Hyperlink"/>
            <w:rFonts w:ascii="Times New Roman" w:hAnsi="Times New Roman"/>
            <w:b w:val="false"/>
            <w:i w:val="false"/>
            <w:color w:val="000000"/>
            <w:sz w:val="22"/>
          </w:rPr>
          <w:t>96.1A(7)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871—23.41</w:t>
      </w:r>
      <w:r>
        <w:rPr>
          <w:rFonts w:ascii="Times New Roman" w:hAnsi="Times New Roman"/>
          <w:b/>
          <w:i w:val="false"/>
          <w:color w:val="000000"/>
          <w:sz w:val="22"/>
        </w:rPr>
        <w:t xml:space="preserve">(96) </w:t>
      </w:r>
      <w:r>
        <w:rPr>
          <w:rFonts w:ascii="Times New Roman" w:hAnsi="Times New Roman"/>
          <w:b/>
          <w:i w:val="false"/>
          <w:color w:val="000000"/>
          <w:sz w:val="22"/>
        </w:rPr>
        <w:t xml:space="preserve">Computation date defined. </w:t>
      </w:r>
      <w:r>
        <w:rPr>
          <w:rFonts w:ascii="Times New Roman" w:hAnsi="Times New Roman"/>
          <w:b w:val="false"/>
          <w:i w:val="false"/>
          <w:color w:val="000000"/>
          <w:sz w:val="22"/>
        </w:rPr>
        <w:t>The computation date for determining tax rates for future years is July 1. Rate computation includes all taxable wages and benefit charges for the quarters prior to and ending on June 30 immediately prior to the computation date. Delinquent reports filed after September 30 immediately following the computation date will not be used in the current year’s tax rate computation.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3">
        <w:r>
          <w:rPr>
            <w:rStyle w:val="Hyperlink"/>
            <w:rFonts w:ascii="Times New Roman" w:hAnsi="Times New Roman"/>
            <w:b w:val="false"/>
            <w:i w:val="false"/>
            <w:color w:val="000000"/>
            <w:sz w:val="22"/>
          </w:rPr>
          <w:t>96.1A(7)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871—23.42</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871—23.43</w:t>
      </w:r>
      <w:r>
        <w:rPr>
          <w:rFonts w:ascii="Times New Roman" w:hAnsi="Times New Roman"/>
          <w:b/>
          <w:i w:val="false"/>
          <w:color w:val="000000"/>
          <w:sz w:val="22"/>
        </w:rPr>
        <w:t xml:space="preserve">(96) </w:t>
      </w:r>
      <w:r>
        <w:rPr>
          <w:rFonts w:ascii="Times New Roman" w:hAnsi="Times New Roman"/>
          <w:b/>
          <w:i w:val="false"/>
          <w:color w:val="000000"/>
          <w:sz w:val="22"/>
        </w:rPr>
        <w:t xml:space="preserve">Charging of benefits to employer accounts.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23.43(1)</w:t>
      </w:r>
      <w:r>
        <w:rPr>
          <w:rFonts w:ascii="Times New Roman" w:hAnsi="Times New Roman"/>
          <w:b w:val="false"/>
          <w:i w:val="false"/>
          <w:color w:val="000000"/>
          <w:sz w:val="22"/>
        </w:rPr>
        <w:t> </w:t>
      </w:r>
      <w:r>
        <w:rPr>
          <w:rFonts w:ascii="Times New Roman" w:hAnsi="Times New Roman"/>
          <w:b w:val="false"/>
          <w:i/>
          <w:color w:val="000000"/>
          <w:sz w:val="22"/>
        </w:rPr>
        <w:t xml:space="preserve">Benefits paid to an eligible claimant. </w:t>
      </w:r>
      <w:r>
        <w:rPr>
          <w:rFonts w:ascii="Times New Roman" w:hAnsi="Times New Roman"/>
          <w:b w:val="false"/>
          <w:i w:val="false"/>
          <w:color w:val="000000"/>
          <w:sz w:val="22"/>
        </w:rPr>
        <w:t>Benefits paid to an eligible claimant are charged against the base period wage credits in the same inverse chronological order in which the wages were paid to the claimant.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23.43(2)</w:t>
      </w:r>
      <w:r>
        <w:rPr>
          <w:rFonts w:ascii="Times New Roman" w:hAnsi="Times New Roman"/>
          <w:b w:val="false"/>
          <w:i w:val="false"/>
          <w:color w:val="000000"/>
          <w:sz w:val="22"/>
        </w:rPr>
        <w:t> </w:t>
      </w:r>
      <w:r>
        <w:rPr>
          <w:rFonts w:ascii="Times New Roman" w:hAnsi="Times New Roman"/>
          <w:b w:val="false"/>
          <w:i/>
          <w:color w:val="000000"/>
          <w:sz w:val="22"/>
        </w:rPr>
        <w:t xml:space="preserve">Formula for charging employer accounts.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Wage credits in the most recent quarter of the base period will be used first, and when wage credits in this quarter are exhausted, wage credits for the next most recent quarter will be used until each of the four quarters in the base period is exhausted or until the claimant is paid an amount not to exceed the claimant’s maximum benefit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employer who has wage credits in the quarter of the base period will be charged the employer’s proportional share of each payment. The proportional share to be charged to each employer in a specific quarter will be based upon the total employer wage credits within that quarter.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23.43(3)</w:t>
      </w:r>
      <w:r>
        <w:rPr>
          <w:rFonts w:ascii="Times New Roman" w:hAnsi="Times New Roman"/>
          <w:b w:val="false"/>
          <w:i w:val="false"/>
          <w:color w:val="000000"/>
          <w:sz w:val="22"/>
        </w:rPr>
        <w:t> </w:t>
      </w:r>
      <w:r>
        <w:rPr>
          <w:rFonts w:ascii="Times New Roman" w:hAnsi="Times New Roman"/>
          <w:b w:val="false"/>
          <w:i/>
          <w:color w:val="000000"/>
          <w:sz w:val="22"/>
        </w:rPr>
        <w:t xml:space="preserve">Rule of two affirmances.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Whenever an administrative law judge affirms a decision of the representative or the employment appeal board affirms the decision of an administrative law judge, allowing payment of benefits, such benefits will be paid regardless of any further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However, if the decision is subsequently reversed by higher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protesting employer involved will have all charges removed for all payments made on such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payments to the claimant will cease as of the date of the reversed decision unless the claimant is otherwise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 overpayment will accrue to the claimant because of payment made prior to and during the period in which the department is processing the reversal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23.43(4)</w:t>
      </w:r>
      <w:r>
        <w:rPr>
          <w:rFonts w:ascii="Times New Roman" w:hAnsi="Times New Roman"/>
          <w:b w:val="false"/>
          <w:i w:val="false"/>
          <w:color w:val="000000"/>
          <w:sz w:val="22"/>
        </w:rPr>
        <w:t> </w:t>
      </w:r>
      <w:r>
        <w:rPr>
          <w:rFonts w:ascii="Times New Roman" w:hAnsi="Times New Roman"/>
          <w:b w:val="false"/>
          <w:i/>
          <w:color w:val="000000"/>
          <w:sz w:val="22"/>
        </w:rPr>
        <w:t xml:space="preserve">Supplemental employment.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who has been separated with cause attributable to the regular employer and who remains in the employ of the individual’s part-time, base period employer continues to be eligible for benefits as long as the individual is receiving the same employment from the part-time employer that the individual received during the base period. The part-time employer’s account, including the reimbursable employer’s account, may be relieved of benefit charges.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On a second benefit year claim where the individual worked only for the part-time employer during the base period and the lag quarter, the part-time employer is not considered for relief of benefit charges with the onset of the second benefit year. It is the part-time employer’s responsibility to notify the department of the part-time employment situation so the department may render a decision as to the availability of the individual and benefit charges. The individual is required to report gross wages earned in the part-time employment for each week claimed, and the wages will be deducted from any benefits paid in accordance with Iowa Code section </w:t>
      </w:r>
      <w:hyperlink r:id="rId94">
        <w:r>
          <w:rPr>
            <w:rStyle w:val="Hyperlink"/>
            <w:rFonts w:ascii="Times New Roman" w:hAnsi="Times New Roman"/>
            <w:b w:val="false"/>
            <w:i w:val="false"/>
            <w:color w:val="000000"/>
            <w:sz w:val="22"/>
          </w:rPr>
          <w:t>96.3(3)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who voluntarily quits supplemental part-time employment without good cause and who has not requalified for benefits following the voluntary quit of supplemental part-time employment, yet is otherwise monetarily eligible for benefits based on wages paid by the regular or other base period employers, will not be disqualified for voluntarily quitting without good cause the supplemental part-time employer.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individual and the supplemental part-time employer that was voluntarily quit without good cause will be notified of the decision made by a department representative, via the Decision of the Workforce Development Representative form, that benefit payments that are based on the wages paid by the supplemental part-time employer shall not be made and benefit charges shall not be assessed against the supplemental part-time employer’s account; however, once the individual meets the requalification requirements following the voluntary quit without good cause of the supplemental part-time employer, the wages paid in the supplemental part-time employment will be restored for benefit payment and charging purposes as determined by applicable requalification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23.43(5)</w:t>
      </w:r>
      <w:r>
        <w:rPr>
          <w:rFonts w:ascii="Times New Roman" w:hAnsi="Times New Roman"/>
          <w:b w:val="false"/>
          <w:i w:val="false"/>
          <w:color w:val="000000"/>
          <w:sz w:val="22"/>
        </w:rPr>
        <w:t> </w:t>
      </w:r>
      <w:r>
        <w:rPr>
          <w:rFonts w:ascii="Times New Roman" w:hAnsi="Times New Roman"/>
          <w:b w:val="false"/>
          <w:i/>
          <w:color w:val="000000"/>
          <w:sz w:val="22"/>
        </w:rPr>
        <w:t xml:space="preserve">Sole purpose. </w:t>
      </w:r>
      <w:r>
        <w:rPr>
          <w:rFonts w:ascii="Times New Roman" w:hAnsi="Times New Roman"/>
          <w:b w:val="false"/>
          <w:i w:val="false"/>
          <w:color w:val="000000"/>
          <w:sz w:val="22"/>
        </w:rPr>
        <w:t>The claimant is eligible for benefits, even though the claimant voluntarily quit, if the claimant left for the sole purpose of accepting an offer of other or better employment, which the claimant did accept, and from which the claimant is separated, before or after having started the new employment. No charge will accrue to the account of the former voluntarily quit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23.43(6)</w:t>
      </w:r>
      <w:r>
        <w:rPr>
          <w:rFonts w:ascii="Times New Roman" w:hAnsi="Times New Roman"/>
          <w:b w:val="false"/>
          <w:i w:val="false"/>
          <w:color w:val="000000"/>
          <w:sz w:val="22"/>
        </w:rPr>
        <w:t> </w:t>
      </w:r>
      <w:r>
        <w:rPr>
          <w:rFonts w:ascii="Times New Roman" w:hAnsi="Times New Roman"/>
          <w:b w:val="false"/>
          <w:i/>
          <w:color w:val="000000"/>
          <w:sz w:val="22"/>
        </w:rPr>
        <w:t xml:space="preserve">Department-approved training. </w:t>
      </w:r>
      <w:r>
        <w:rPr>
          <w:rFonts w:ascii="Times New Roman" w:hAnsi="Times New Roman"/>
          <w:b w:val="false"/>
          <w:i w:val="false"/>
          <w:color w:val="000000"/>
          <w:sz w:val="22"/>
        </w:rPr>
        <w:t xml:space="preserve">A claimant who qualifies and is approved for department-approved training (rule </w:t>
      </w:r>
      <w:hyperlink r:id="rId95">
        <w:r>
          <w:rPr>
            <w:rStyle w:val="Hyperlink"/>
            <w:rFonts w:ascii="Times New Roman" w:hAnsi="Times New Roman"/>
            <w:b w:val="false"/>
            <w:i w:val="false"/>
            <w:color w:val="000000"/>
            <w:sz w:val="22"/>
          </w:rPr>
          <w:t>871—24.39</w:t>
        </w:r>
      </w:hyperlink>
      <w:r>
        <w:rPr>
          <w:rFonts w:ascii="Times New Roman" w:hAnsi="Times New Roman"/>
          <w:b w:val="false"/>
          <w:i w:val="false"/>
          <w:color w:val="000000"/>
          <w:sz w:val="22"/>
        </w:rPr>
        <w:t>(96)) shall continue to be eligible for benefit payments. No contributing employer shall be charged for benefits that are paid to the claimant during the period of the department-approved training. The relief from charges does not apply to the reimbursable employer that is required by law or election to reimburse the trust fund, and the employer shall be charged with the benefits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23.43(7)</w:t>
      </w:r>
      <w:r>
        <w:rPr>
          <w:rFonts w:ascii="Times New Roman" w:hAnsi="Times New Roman"/>
          <w:b w:val="false"/>
          <w:i w:val="false"/>
          <w:color w:val="000000"/>
          <w:sz w:val="22"/>
        </w:rPr>
        <w:t> </w:t>
      </w:r>
      <w:r>
        <w:rPr>
          <w:rFonts w:ascii="Times New Roman" w:hAnsi="Times New Roman"/>
          <w:b w:val="false"/>
          <w:i/>
          <w:color w:val="000000"/>
          <w:sz w:val="22"/>
        </w:rPr>
        <w:t xml:space="preserve">Ten times the weekly benefit amount in insured work requalification.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order to meet the provision regarding ten times the weekly benefit amount in insured work requalification, the following criteria must be met:</w:t>
      </w:r>
    </w:p>
    <w:p>
      <w:pPr>
        <w:spacing w:before="0" w:after="0"/>
        <w:ind w:left="120"/>
        <w:jc w:val="both"/>
      </w:pPr>
      <w:r>
        <w:rPr>
          <w:rFonts w:ascii="Times New Roman" w:hAnsi="Times New Roman"/>
          <w:b w:val="false"/>
          <w:i w:val="false"/>
          <w:color w:val="000000"/>
          <w:sz w:val="22"/>
        </w:rPr>
        <w:t>Subsequent to leaving or refusing work, the individual shall have worked in (except in back pay awards) and been paid wages equal to ten times the claimant’s weekly benefit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employer’s account will not be charged with benefit payments to an eligible claimant who quit such employment without good cause attributable to the employer or who was discharged for misconduct or who failed without good cause either to apply for available, suitable work or to accept suitable work with that employer but shall be charged to the balancing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requalification and transfer of charges will occur for the employer if the requalifying employment is earned with an out-of-state covered employer. The transfer of charges will be made to the balancing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Periods of insured employment with separate employers may be joined to collectively equal ten times the individual’s weekly benefit amount when requalification cannot be accomplished by an individual insured employer. The employer from whom the individual left work or was discharged or with whom the individual failed to apply or accept suitable work will not accrue any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benefits can be paid or the transfer of charges can occur, sufficient evidence must be present to establish the fact that the criteria in paragraph </w:t>
      </w:r>
      <w:r>
        <w:rPr>
          <w:rFonts w:ascii="Times New Roman" w:hAnsi="Times New Roman"/>
          <w:b w:val="false"/>
          <w:i w:val="false"/>
          <w:color w:val="000000"/>
          <w:sz w:val="22"/>
        </w:rPr>
        <w:t>23.43(8)</w:t>
      </w:r>
      <w:r>
        <w:rPr>
          <w:rFonts w:ascii="Times New Roman" w:hAnsi="Times New Roman"/>
          <w:b w:val="false"/>
          <w:i/>
          <w:color w:val="000000"/>
          <w:sz w:val="22"/>
        </w:rPr>
        <w:t>“a”</w:t>
      </w:r>
      <w:r>
        <w:rPr>
          <w:rFonts w:ascii="Times New Roman" w:hAnsi="Times New Roman"/>
          <w:b w:val="false"/>
          <w:i w:val="false"/>
          <w:color w:val="000000"/>
          <w:sz w:val="22"/>
        </w:rPr>
        <w:t xml:space="preserve"> has been met. Verification of employment may be completed through the records of the department or by using any method establishing proof of the necessary wage credits, including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employment verification form is an affidavit prepared in duplicate stating the insured employer’s name, mailing address, the starting date of employment, and wages paid subsequent to that date. The form must be signed by the claimant alleging that the facts are correct. Any misrepresentation in the form may result in overpayment, fraud charges, an administrative penalty, or any or all thereof. A copy of the form must be mailed to the employer or employers for verification. The employer should review the information on the form and certify that it is either correct or in error. If the information is incorrect, the employer should give the proper information. If the employer fails to return the form within five days of date mailed, the information on the form will be presumed to be correct.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Employment check stubs may be used in conjunction with the employment verification form to indicate the requalifying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23.43(8)</w:t>
      </w:r>
      <w:r>
        <w:rPr>
          <w:rFonts w:ascii="Times New Roman" w:hAnsi="Times New Roman"/>
          <w:b w:val="false"/>
          <w:i w:val="false"/>
          <w:color w:val="000000"/>
          <w:sz w:val="22"/>
        </w:rPr>
        <w:t> </w:t>
      </w:r>
      <w:r>
        <w:rPr>
          <w:rFonts w:ascii="Times New Roman" w:hAnsi="Times New Roman"/>
          <w:b w:val="false"/>
          <w:i/>
          <w:color w:val="000000"/>
          <w:sz w:val="22"/>
        </w:rPr>
        <w:t xml:space="preserve">Combined wage claim transfer of wages.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Iowa employers whose wage credits are transferred from Iowa to an out-of-state paying state under the interstate reciprocal benefit plan as provided in Iowa Code section </w:t>
      </w:r>
      <w:hyperlink r:id="rId96">
        <w:r>
          <w:rPr>
            <w:rStyle w:val="Hyperlink"/>
            <w:rFonts w:ascii="Times New Roman" w:hAnsi="Times New Roman"/>
            <w:b w:val="false"/>
            <w:i w:val="false"/>
            <w:color w:val="000000"/>
            <w:sz w:val="22"/>
          </w:rPr>
          <w:t>96.20</w:t>
        </w:r>
      </w:hyperlink>
      <w:r>
        <w:rPr>
          <w:rFonts w:ascii="Times New Roman" w:hAnsi="Times New Roman"/>
          <w:b w:val="false"/>
          <w:i w:val="false"/>
          <w:color w:val="000000"/>
          <w:sz w:val="22"/>
        </w:rPr>
        <w:t xml:space="preserve"> will be liable for charges for benefits paid by the out-of-state paying 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No reimbursement so payable may be charged against a contributory employer’s account for the purpose of Iowa Code section </w:t>
      </w:r>
      <w:hyperlink r:id="rId97">
        <w:r>
          <w:rPr>
            <w:rStyle w:val="Hyperlink"/>
            <w:rFonts w:ascii="Times New Roman" w:hAnsi="Times New Roman"/>
            <w:b w:val="false"/>
            <w:i w:val="false"/>
            <w:color w:val="000000"/>
            <w:sz w:val="22"/>
          </w:rPr>
          <w:t>96.7</w:t>
        </w:r>
      </w:hyperlink>
      <w:r>
        <w:rPr>
          <w:rFonts w:ascii="Times New Roman" w:hAnsi="Times New Roman"/>
          <w:b w:val="false"/>
          <w:i w:val="false"/>
          <w:color w:val="000000"/>
          <w:sz w:val="22"/>
        </w:rPr>
        <w:t xml:space="preserve"> unless wages so transferred are sufficient to establish a valid Iowa claim, and such charges may not exceed the amount that would have been charged on the basis of a valid Iowa claim.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employer who is required by law or by election to reimburse the trust fund will be liable for charges against the employer’s account for benefits paid by another state as required in Iowa Code section </w:t>
      </w:r>
      <w:hyperlink r:id="rId98">
        <w:r>
          <w:rPr>
            <w:rStyle w:val="Hyperlink"/>
            <w:rFonts w:ascii="Times New Roman" w:hAnsi="Times New Roman"/>
            <w:b w:val="false"/>
            <w:i w:val="false"/>
            <w:color w:val="000000"/>
            <w:sz w:val="22"/>
          </w:rPr>
          <w:t>96.8(5)</w:t>
        </w:r>
      </w:hyperlink>
      <w:r>
        <w:rPr>
          <w:rFonts w:ascii="Times New Roman" w:hAnsi="Times New Roman"/>
          <w:b w:val="false"/>
          <w:i w:val="false"/>
          <w:color w:val="000000"/>
          <w:sz w:val="22"/>
        </w:rPr>
        <w:t>, regardless of whether the Iowa wages so transferred are sufficient to establish a valid Iowa claim. Benefit payments shall be made in accordance with the claimant’s eligibility under the paying state’s law. Charges are assessed to the employer that are based on benefit payments made by the paying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Iowa employer whose wage credits have been transferred and who has potential liability will be notified that the wages have been transferred, the state to which they have been transferred, and the mailing address to which a protest of potential charges may be mailed. This protest must be postmarked or received by the department within ten days of the date on the notice to be considered as a timely protest of charges. If the protest from either the reimbursable or contributory employer justifies relief of charges, charges will go to the balancing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Requests received from the paying state for amounts in excess of an amount equal to potential charges of an Iowa claim will not be charged to the Iowa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Iowa is the paying state on an interstate claim and Iowa wage credits are insufficient to have a valid Iowa claim, charges will not be made against the Iowa employer’s account but will be charged to the balancing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23.43(9)</w:t>
      </w:r>
      <w:r>
        <w:rPr>
          <w:rFonts w:ascii="Times New Roman" w:hAnsi="Times New Roman"/>
          <w:b w:val="false"/>
          <w:i w:val="false"/>
          <w:color w:val="000000"/>
          <w:sz w:val="22"/>
        </w:rPr>
        <w:t> </w:t>
      </w:r>
      <w:r>
        <w:rPr>
          <w:rFonts w:ascii="Times New Roman" w:hAnsi="Times New Roman"/>
          <w:b w:val="false"/>
          <w:i/>
          <w:color w:val="000000"/>
          <w:sz w:val="22"/>
        </w:rPr>
        <w:t xml:space="preserve">Extended benefits.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Fifty percent of the amount of each week of extended benefits paid to an individual in accordance with rule </w:t>
      </w:r>
      <w:hyperlink r:id="rId99">
        <w:r>
          <w:rPr>
            <w:rStyle w:val="Hyperlink"/>
            <w:rFonts w:ascii="Times New Roman" w:hAnsi="Times New Roman"/>
            <w:b w:val="false"/>
            <w:i w:val="false"/>
            <w:color w:val="000000"/>
            <w:sz w:val="22"/>
          </w:rPr>
          <w:t>871—24.46</w:t>
        </w:r>
      </w:hyperlink>
      <w:r>
        <w:rPr>
          <w:rFonts w:ascii="Times New Roman" w:hAnsi="Times New Roman"/>
          <w:b w:val="false"/>
          <w:i w:val="false"/>
          <w:color w:val="000000"/>
          <w:sz w:val="22"/>
        </w:rPr>
        <w:t>(96) shall be charged against the account of the employer that is chargeable for the extended benefits; however, 100 percent of the amount of each week of extended benefits paid to an individual shall be charged against the account of the Indian tribal and governmental contributory or reimbursable employer that is chargeable for the extended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lack of a one-week waiting period prohibits this state from receiving a payment from the U.S. Department of Labor for 50 percent of the amount of the first week of extended benefits paid to an individual. This amount will not be charged against the account of the employer that is chargeable for the extended benefits unless the employer is a nonprofit reimbursable employer but shall be charged against the balancing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the event that a payment from the U.S. Department of Labor for 50 percent of any week of extended benefits paid to an individual is reduced under an order issued under Section 252 of the United States Balanced Budget and Emergency Deficit Control Act of 1985, the amount of the reduction may not be charged against the account of the employer that is chargeable for the extended benefits unless the employer is a nonprofit reimbursable employer but shall be charged against the balancing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23.43(10)</w:t>
      </w:r>
      <w:r>
        <w:rPr>
          <w:rFonts w:ascii="Times New Roman" w:hAnsi="Times New Roman"/>
          <w:b w:val="false"/>
          <w:i w:val="false"/>
          <w:color w:val="000000"/>
          <w:sz w:val="22"/>
        </w:rPr>
        <w:t> </w:t>
      </w:r>
      <w:r>
        <w:rPr>
          <w:rFonts w:ascii="Times New Roman" w:hAnsi="Times New Roman"/>
          <w:b w:val="false"/>
          <w:i/>
          <w:color w:val="000000"/>
          <w:sz w:val="22"/>
        </w:rPr>
        <w:t xml:space="preserve">Charging of benefits paid to individuals employed by two or more employers.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Whenever wage reports submitted to the department show the employment of an individual by more than one employer in the same calendar quarter, benefits shall be charged to each employer’s account in the same proportion as wages paid in the quarter.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Benefits for partial unemployment shall be charged in the same manner as benefits for total unemployment.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23.43(11)</w:t>
      </w:r>
      <w:r>
        <w:rPr>
          <w:rFonts w:ascii="Times New Roman" w:hAnsi="Times New Roman"/>
          <w:b w:val="false"/>
          <w:i w:val="false"/>
          <w:color w:val="000000"/>
          <w:sz w:val="22"/>
        </w:rPr>
        <w:t> </w:t>
      </w:r>
      <w:r>
        <w:rPr>
          <w:rFonts w:ascii="Times New Roman" w:hAnsi="Times New Roman"/>
          <w:b w:val="false"/>
          <w:i/>
          <w:color w:val="000000"/>
          <w:sz w:val="22"/>
        </w:rPr>
        <w:t xml:space="preserve">Government contributory charges. </w:t>
      </w:r>
      <w:r>
        <w:rPr>
          <w:rFonts w:ascii="Times New Roman" w:hAnsi="Times New Roman"/>
          <w:b w:val="false"/>
          <w:i w:val="false"/>
          <w:color w:val="000000"/>
          <w:sz w:val="22"/>
        </w:rPr>
        <w:t>For the purpose of determining the base rate for government contributory employers, a percentage of all benefits that are paid but are not chargeable to employer accounts because of various provisions of the law will be considered as belonging to government contributory employers. The percentage of the nonchargeable benefits considered to be attributable to government contributory employers for each calendar year will be determined by the ratio of the benefits actually charged to government contributory accounts for the year to the total benefits charged to all contributory accounts for the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23.43(12)</w:t>
      </w:r>
      <w:r>
        <w:rPr>
          <w:rFonts w:ascii="Times New Roman" w:hAnsi="Times New Roman"/>
          <w:b w:val="false"/>
          <w:i w:val="false"/>
          <w:color w:val="000000"/>
          <w:sz w:val="22"/>
        </w:rPr>
        <w:t> </w:t>
      </w:r>
      <w:r>
        <w:rPr>
          <w:rFonts w:ascii="Times New Roman" w:hAnsi="Times New Roman"/>
          <w:b w:val="false"/>
          <w:i/>
          <w:color w:val="000000"/>
          <w:sz w:val="22"/>
        </w:rPr>
        <w:t xml:space="preserve">Removal of benefit charges upon the sale or transfer of a clearly segregable part of an employer’s business or enterprise when the acquiring employer does not receive a partial transfer of experience. </w:t>
      </w:r>
      <w:r>
        <w:rPr>
          <w:rFonts w:ascii="Times New Roman" w:hAnsi="Times New Roman"/>
          <w:b w:val="false"/>
          <w:i w:val="false"/>
          <w:color w:val="000000"/>
          <w:sz w:val="22"/>
        </w:rPr>
        <w:t>Benefits based on wages earned with the transferring employer, paid to an individual who worked in and was paid wages for work with the acquiring employer, shall be transferred to the balancing account. The transferring employer must protest this issue on the Notice of Claim in a timely manner to receive relief from the charges. The relief of charges applies to both contributory and reimbursable employers.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23.43(13)</w:t>
      </w:r>
      <w:r>
        <w:rPr>
          <w:rFonts w:ascii="Times New Roman" w:hAnsi="Times New Roman"/>
          <w:b w:val="false"/>
          <w:i w:val="false"/>
          <w:color w:val="000000"/>
          <w:sz w:val="22"/>
        </w:rPr>
        <w:t> </w:t>
      </w:r>
      <w:r>
        <w:rPr>
          <w:rFonts w:ascii="Times New Roman" w:hAnsi="Times New Roman"/>
          <w:b w:val="false"/>
          <w:i/>
          <w:color w:val="000000"/>
          <w:sz w:val="22"/>
        </w:rPr>
        <w:t xml:space="preserve">Disaster relief. </w:t>
      </w:r>
      <w:r>
        <w:rPr>
          <w:rFonts w:ascii="Times New Roman" w:hAnsi="Times New Roman"/>
          <w:b w:val="false"/>
          <w:i w:val="false"/>
          <w:color w:val="000000"/>
          <w:sz w:val="22"/>
        </w:rPr>
        <w:t>An employer will not be charged with benefits for unemployment that is directly caused by a disaster declared by the president of the United States, pursuant to the United States Disaster Relief Act of 1974, if the individual would have been eligible for disaster unemployment assistance with respect to that unemployment but for the individual’s receipt of regular benefits. The employer may protest the charges on the Notice of Claim or the Quarterly Charge Statement within 30 days after the date of mailing of the Quarterly Charge Statement.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0">
        <w:r>
          <w:rPr>
            <w:rStyle w:val="Hyperlink"/>
            <w:rFonts w:ascii="Times New Roman" w:hAnsi="Times New Roman"/>
            <w:b w:val="false"/>
            <w:i w:val="false"/>
            <w:color w:val="000000"/>
            <w:sz w:val="22"/>
          </w:rPr>
          <w:t>96.3(7)</w:t>
        </w:r>
      </w:hyperlink>
      <w:r>
        <w:rPr>
          <w:rFonts w:ascii="Times New Roman" w:hAnsi="Times New Roman"/>
          <w:b w:val="false"/>
          <w:i w:val="false"/>
          <w:color w:val="000000"/>
          <w:sz w:val="22"/>
        </w:rPr>
        <w:t xml:space="preserve">, </w:t>
      </w:r>
      <w:hyperlink r:id="rId101">
        <w:r>
          <w:rPr>
            <w:rStyle w:val="Hyperlink"/>
            <w:rFonts w:ascii="Times New Roman" w:hAnsi="Times New Roman"/>
            <w:b w:val="false"/>
            <w:i w:val="false"/>
            <w:color w:val="000000"/>
            <w:sz w:val="22"/>
          </w:rPr>
          <w:t>96.5(1)</w:t>
        </w:r>
      </w:hyperlink>
      <w:r>
        <w:rPr>
          <w:rFonts w:ascii="Times New Roman" w:hAnsi="Times New Roman"/>
          <w:b w:val="false"/>
          <w:i w:val="false"/>
          <w:color w:val="000000"/>
          <w:sz w:val="22"/>
        </w:rPr>
        <w:t xml:space="preserve">, </w:t>
      </w:r>
      <w:hyperlink r:id="rId102">
        <w:r>
          <w:rPr>
            <w:rStyle w:val="Hyperlink"/>
            <w:rFonts w:ascii="Times New Roman" w:hAnsi="Times New Roman"/>
            <w:b w:val="false"/>
            <w:i w:val="false"/>
            <w:color w:val="000000"/>
            <w:sz w:val="22"/>
          </w:rPr>
          <w:t>96.6(2)</w:t>
        </w:r>
      </w:hyperlink>
      <w:r>
        <w:rPr>
          <w:rFonts w:ascii="Times New Roman" w:hAnsi="Times New Roman"/>
          <w:b w:val="false"/>
          <w:i w:val="false"/>
          <w:color w:val="000000"/>
          <w:sz w:val="22"/>
        </w:rPr>
        <w:t xml:space="preserve">, </w:t>
      </w:r>
      <w:hyperlink r:id="rId103">
        <w:r>
          <w:rPr>
            <w:rStyle w:val="Hyperlink"/>
            <w:rFonts w:ascii="Times New Roman" w:hAnsi="Times New Roman"/>
            <w:b w:val="false"/>
            <w:i w:val="false"/>
            <w:color w:val="000000"/>
            <w:sz w:val="22"/>
          </w:rPr>
          <w:t>96.7</w:t>
        </w:r>
      </w:hyperlink>
      <w:r>
        <w:rPr>
          <w:rFonts w:ascii="Times New Roman" w:hAnsi="Times New Roman"/>
          <w:b w:val="false"/>
          <w:i w:val="false"/>
          <w:color w:val="000000"/>
          <w:sz w:val="22"/>
        </w:rPr>
        <w:t xml:space="preserve">, </w:t>
      </w:r>
      <w:hyperlink r:id="rId104">
        <w:r>
          <w:rPr>
            <w:rStyle w:val="Hyperlink"/>
            <w:rFonts w:ascii="Times New Roman" w:hAnsi="Times New Roman"/>
            <w:b w:val="false"/>
            <w:i w:val="false"/>
            <w:color w:val="000000"/>
            <w:sz w:val="22"/>
          </w:rPr>
          <w:t>96.8(5)</w:t>
        </w:r>
      </w:hyperlink>
      <w:r>
        <w:rPr>
          <w:rFonts w:ascii="Times New Roman" w:hAnsi="Times New Roman"/>
          <w:b w:val="false"/>
          <w:i w:val="false"/>
          <w:color w:val="000000"/>
          <w:sz w:val="22"/>
        </w:rPr>
        <w:t xml:space="preserve">, </w:t>
      </w:r>
      <w:hyperlink r:id="rId105">
        <w:r>
          <w:rPr>
            <w:rStyle w:val="Hyperlink"/>
            <w:rFonts w:ascii="Times New Roman" w:hAnsi="Times New Roman"/>
            <w:b w:val="false"/>
            <w:i w:val="false"/>
            <w:color w:val="000000"/>
            <w:sz w:val="22"/>
          </w:rPr>
          <w:t>96.9(5)</w:t>
        </w:r>
      </w:hyperlink>
      <w:r>
        <w:rPr>
          <w:rFonts w:ascii="Times New Roman" w:hAnsi="Times New Roman"/>
          <w:b w:val="false"/>
          <w:i w:val="false"/>
          <w:color w:val="000000"/>
          <w:sz w:val="22"/>
        </w:rPr>
        <w:t xml:space="preserve">, </w:t>
      </w:r>
      <w:hyperlink r:id="rId106">
        <w:r>
          <w:rPr>
            <w:rStyle w:val="Hyperlink"/>
            <w:rFonts w:ascii="Times New Roman" w:hAnsi="Times New Roman"/>
            <w:b w:val="false"/>
            <w:i w:val="false"/>
            <w:color w:val="000000"/>
            <w:sz w:val="22"/>
          </w:rPr>
          <w:t>96.11(1)</w:t>
        </w:r>
      </w:hyperlink>
      <w:r>
        <w:rPr>
          <w:rFonts w:ascii="Times New Roman" w:hAnsi="Times New Roman"/>
          <w:b w:val="false"/>
          <w:i w:val="false"/>
          <w:color w:val="000000"/>
          <w:sz w:val="22"/>
        </w:rPr>
        <w:t xml:space="preserve">, </w:t>
      </w:r>
      <w:hyperlink r:id="rId107">
        <w:r>
          <w:rPr>
            <w:rStyle w:val="Hyperlink"/>
            <w:rFonts w:ascii="Times New Roman" w:hAnsi="Times New Roman"/>
            <w:b w:val="false"/>
            <w:i w:val="false"/>
            <w:color w:val="000000"/>
            <w:sz w:val="22"/>
          </w:rPr>
          <w:t>96.16(4)</w:t>
        </w:r>
      </w:hyperlink>
      <w:r>
        <w:rPr>
          <w:rFonts w:ascii="Times New Roman" w:hAnsi="Times New Roman"/>
          <w:b w:val="false"/>
          <w:i w:val="false"/>
          <w:color w:val="000000"/>
          <w:sz w:val="22"/>
        </w:rPr>
        <w:t xml:space="preserve"> and </w:t>
      </w:r>
      <w:hyperlink r:id="rId108">
        <w:r>
          <w:rPr>
            <w:rStyle w:val="Hyperlink"/>
            <w:rFonts w:ascii="Times New Roman" w:hAnsi="Times New Roman"/>
            <w:b w:val="false"/>
            <w:i w:val="false"/>
            <w:color w:val="000000"/>
            <w:sz w:val="22"/>
          </w:rPr>
          <w:t>96.29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871—23.44</w:t>
      </w:r>
      <w:r>
        <w:rPr>
          <w:rFonts w:ascii="Times New Roman" w:hAnsi="Times New Roman"/>
          <w:b/>
          <w:i w:val="false"/>
          <w:color w:val="000000"/>
          <w:sz w:val="22"/>
        </w:rPr>
        <w:t xml:space="preserve">(96) </w:t>
      </w:r>
      <w:r>
        <w:rPr>
          <w:rFonts w:ascii="Times New Roman" w:hAnsi="Times New Roman"/>
          <w:b/>
          <w:i w:val="false"/>
          <w:color w:val="000000"/>
          <w:sz w:val="22"/>
        </w:rPr>
        <w:t xml:space="preserve">Benefits payments.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23.44(1)</w:t>
      </w:r>
      <w:r>
        <w:rPr>
          <w:rFonts w:ascii="Times New Roman" w:hAnsi="Times New Roman"/>
          <w:b w:val="false"/>
          <w:i w:val="false"/>
          <w:color w:val="000000"/>
          <w:sz w:val="22"/>
        </w:rPr>
        <w:t> </w:t>
      </w:r>
      <w:r>
        <w:rPr>
          <w:rFonts w:ascii="Times New Roman" w:hAnsi="Times New Roman"/>
          <w:b w:val="false"/>
          <w:i w:val="false"/>
          <w:color w:val="000000"/>
          <w:sz w:val="22"/>
        </w:rPr>
        <w:t>The employer may not be relieved of benefit charges for a payment of back pay until the amount of the overpayment is recovered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23.44(2)</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that an overpayment has been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charge for the overpayment against the employer’s account shall be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account shall be credited with an amount equal to the overpayment from the unemployment compensation trust fund, and this credit shall include both contributory and reimbursable employers,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employer shall not be relieved of charges if benefits are paid because the employer or an agent of the employer failed to respond timely or adequately to the department’s request for information relating to the payment of benefits unless the department determines that an employer’s failure to respond timely or adequately was due to insufficient notification from the department, in which case the employer’s account shall not be charged for the overpayment.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9">
        <w:r>
          <w:rPr>
            <w:rStyle w:val="Hyperlink"/>
            <w:rFonts w:ascii="Times New Roman" w:hAnsi="Times New Roman"/>
            <w:b w:val="false"/>
            <w:i w:val="false"/>
            <w:color w:val="000000"/>
            <w:sz w:val="22"/>
          </w:rPr>
          <w:t>96.7(3)</w:t>
        </w:r>
      </w:hyperlink>
      <w:r>
        <w:rPr>
          <w:rFonts w:ascii="Times New Roman" w:hAnsi="Times New Roman"/>
          <w:b w:val="false"/>
          <w:i w:val="false"/>
          <w:color w:val="000000"/>
          <w:sz w:val="22"/>
        </w:rPr>
        <w:t xml:space="preserve">, </w:t>
      </w:r>
      <w:hyperlink r:id="rId110">
        <w:r>
          <w:rPr>
            <w:rStyle w:val="Hyperlink"/>
            <w:rFonts w:ascii="Times New Roman" w:hAnsi="Times New Roman"/>
            <w:b w:val="false"/>
            <w:i w:val="false"/>
            <w:color w:val="000000"/>
            <w:sz w:val="22"/>
          </w:rPr>
          <w:t>96.11(1)</w:t>
        </w:r>
      </w:hyperlink>
      <w:r>
        <w:rPr>
          <w:rFonts w:ascii="Times New Roman" w:hAnsi="Times New Roman"/>
          <w:b w:val="false"/>
          <w:i w:val="false"/>
          <w:color w:val="000000"/>
          <w:sz w:val="22"/>
        </w:rPr>
        <w:t xml:space="preserve"> and </w:t>
      </w:r>
      <w:hyperlink r:id="rId111">
        <w:r>
          <w:rPr>
            <w:rStyle w:val="Hyperlink"/>
            <w:rFonts w:ascii="Times New Roman" w:hAnsi="Times New Roman"/>
            <w:b w:val="false"/>
            <w:i w:val="false"/>
            <w:color w:val="000000"/>
            <w:sz w:val="22"/>
          </w:rPr>
          <w:t>96.20(2)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871—23.45</w:t>
      </w:r>
      <w:r>
        <w:rPr>
          <w:rFonts w:ascii="Times New Roman" w:hAnsi="Times New Roman"/>
          <w:b w:val="false"/>
          <w:i w:val="false"/>
          <w:color w:val="000000"/>
          <w:sz w:val="22"/>
        </w:rPr>
        <w:t xml:space="preserve"> and </w:t>
      </w:r>
      <w:r>
        <w:rPr>
          <w:rFonts w:ascii="Times New Roman" w:hAnsi="Times New Roman"/>
          <w:b/>
          <w:i w:val="false"/>
          <w:color w:val="000000"/>
          <w:sz w:val="22"/>
        </w:rPr>
        <w:t>23.46</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871—23.47</w:t>
      </w:r>
      <w:r>
        <w:rPr>
          <w:rFonts w:ascii="Times New Roman" w:hAnsi="Times New Roman"/>
          <w:b/>
          <w:i w:val="false"/>
          <w:color w:val="000000"/>
          <w:sz w:val="22"/>
        </w:rPr>
        <w:t xml:space="preserve">(96) </w:t>
      </w:r>
      <w:r>
        <w:rPr>
          <w:rFonts w:ascii="Times New Roman" w:hAnsi="Times New Roman"/>
          <w:b/>
          <w:i w:val="false"/>
          <w:color w:val="000000"/>
          <w:sz w:val="22"/>
        </w:rPr>
        <w:t xml:space="preserve">Termination of accounts because of no wage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23.47(1)</w:t>
      </w:r>
      <w:r>
        <w:rPr>
          <w:rFonts w:ascii="Times New Roman" w:hAnsi="Times New Roman"/>
          <w:b w:val="false"/>
          <w:i w:val="false"/>
          <w:color w:val="000000"/>
          <w:sz w:val="22"/>
        </w:rPr>
        <w:t> </w:t>
      </w:r>
      <w:r>
        <w:rPr>
          <w:rFonts w:ascii="Times New Roman" w:hAnsi="Times New Roman"/>
          <w:b w:val="false"/>
          <w:i w:val="false"/>
          <w:color w:val="000000"/>
          <w:sz w:val="22"/>
        </w:rPr>
        <w:t>If an employer discontinues business or continues business without employment, the employer may request that the employer’s account be placed in an inactive status. Upon verification of inactive status, the department shall notify the employer and the employer is not required to file quarterly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23.47(2)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finds that an employer has discontinued business or is no longer paying wages, the department may on its own motion place the account in an inactive status.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23.47(3)</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employer has not reported wages for eight consecutive quarters, the account will be placed in inactive status.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23.47(4)</w:t>
      </w:r>
      <w:r>
        <w:rPr>
          <w:rFonts w:ascii="Times New Roman" w:hAnsi="Times New Roman"/>
          <w:b w:val="false"/>
          <w:i w:val="false"/>
          <w:color w:val="000000"/>
          <w:sz w:val="22"/>
        </w:rPr>
        <w:t> </w:t>
      </w:r>
      <w:r>
        <w:rPr>
          <w:rFonts w:ascii="Times New Roman" w:hAnsi="Times New Roman"/>
          <w:b w:val="false"/>
          <w:i w:val="false"/>
          <w:color w:val="000000"/>
          <w:sz w:val="22"/>
        </w:rPr>
        <w:t>An employer must notify the department if the employer resumes paying Iowa wages.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23.47(5)</w:t>
      </w:r>
      <w:r>
        <w:rPr>
          <w:rFonts w:ascii="Times New Roman" w:hAnsi="Times New Roman"/>
          <w:b w:val="false"/>
          <w:i w:val="false"/>
          <w:color w:val="000000"/>
          <w:sz w:val="22"/>
        </w:rPr>
        <w:t> </w:t>
      </w:r>
      <w:r>
        <w:rPr>
          <w:rFonts w:ascii="Times New Roman" w:hAnsi="Times New Roman"/>
          <w:b w:val="false"/>
          <w:i w:val="false"/>
          <w:color w:val="000000"/>
          <w:sz w:val="22"/>
        </w:rPr>
        <w:t>Inactive accounts will be reactivated, with an experience rate (if eligible), when the date first wages paid after employment resumed is less than or equal to ten consecutive calendar quarter from the quarter in which wages were last paid or when the tenth quarter falls within the same year as the date first wages paid after employment resumed. An employer shall provide all quarterly wage reports, including no wage reports.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2">
        <w:r>
          <w:rPr>
            <w:rStyle w:val="Hyperlink"/>
            <w:rFonts w:ascii="Times New Roman" w:hAnsi="Times New Roman"/>
            <w:b w:val="false"/>
            <w:i w:val="false"/>
            <w:color w:val="000000"/>
            <w:sz w:val="22"/>
          </w:rPr>
          <w:t>96.7(2)</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and </w:t>
      </w:r>
      <w:hyperlink r:id="rId113">
        <w:r>
          <w:rPr>
            <w:rStyle w:val="Hyperlink"/>
            <w:rFonts w:ascii="Times New Roman" w:hAnsi="Times New Roman"/>
            <w:b w:val="false"/>
            <w:i w:val="false"/>
            <w:color w:val="000000"/>
            <w:sz w:val="22"/>
          </w:rPr>
          <w:t>96.8(4)</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871—23.48</w:t>
      </w:r>
      <w:r>
        <w:rPr>
          <w:rFonts w:ascii="Times New Roman" w:hAnsi="Times New Roman"/>
          <w:b/>
          <w:i w:val="false"/>
          <w:color w:val="000000"/>
          <w:sz w:val="22"/>
        </w:rPr>
        <w:t xml:space="preserve">(96) </w:t>
      </w:r>
      <w:r>
        <w:rPr>
          <w:rFonts w:ascii="Times New Roman" w:hAnsi="Times New Roman"/>
          <w:b/>
          <w:i w:val="false"/>
          <w:color w:val="000000"/>
          <w:sz w:val="22"/>
        </w:rPr>
        <w:t xml:space="preserve">Previously liable employers. </w:t>
      </w:r>
      <w:r>
        <w:rPr>
          <w:rFonts w:ascii="Times New Roman" w:hAnsi="Times New Roman"/>
          <w:b w:val="false"/>
          <w:i w:val="false"/>
          <w:color w:val="000000"/>
          <w:sz w:val="22"/>
        </w:rPr>
        <w:t>A new unemployment tax account and new employer rating will be given to reimbursable employers electing to become contributory and to formerly active contributory employers whose unemployment tax accounts have changed from inactive to active status.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4">
        <w:r>
          <w:rPr>
            <w:rStyle w:val="Hyperlink"/>
            <w:rFonts w:ascii="Times New Roman" w:hAnsi="Times New Roman"/>
            <w:b w:val="false"/>
            <w:i w:val="false"/>
            <w:color w:val="000000"/>
            <w:sz w:val="22"/>
          </w:rPr>
          <w:t>96.7</w:t>
        </w:r>
      </w:hyperlink>
      <w:r>
        <w:rPr>
          <w:rFonts w:ascii="Times New Roman" w:hAnsi="Times New Roman"/>
          <w:b w:val="false"/>
          <w:i w:val="false"/>
          <w:color w:val="000000"/>
          <w:sz w:val="22"/>
        </w:rPr>
        <w:t xml:space="preserve"> and </w:t>
      </w:r>
      <w:hyperlink r:id="rId115">
        <w:r>
          <w:rPr>
            <w:rStyle w:val="Hyperlink"/>
            <w:rFonts w:ascii="Times New Roman" w:hAnsi="Times New Roman"/>
            <w:b w:val="false"/>
            <w:i w:val="false"/>
            <w:color w:val="000000"/>
            <w:sz w:val="22"/>
          </w:rPr>
          <w:t>96.8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871—23.49</w:t>
      </w:r>
      <w:r>
        <w:rPr>
          <w:rFonts w:ascii="Times New Roman" w:hAnsi="Times New Roman"/>
          <w:b w:val="false"/>
          <w:i w:val="false"/>
          <w:color w:val="000000"/>
          <w:sz w:val="22"/>
        </w:rPr>
        <w:t xml:space="preserve"> and </w:t>
      </w:r>
      <w:r>
        <w:rPr>
          <w:rFonts w:ascii="Times New Roman" w:hAnsi="Times New Roman"/>
          <w:b/>
          <w:i w:val="false"/>
          <w:color w:val="000000"/>
          <w:sz w:val="22"/>
        </w:rPr>
        <w:t>23.50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871—23.51</w:t>
      </w:r>
      <w:r>
        <w:rPr>
          <w:rFonts w:ascii="Times New Roman" w:hAnsi="Times New Roman"/>
          <w:b/>
          <w:i w:val="false"/>
          <w:color w:val="000000"/>
          <w:sz w:val="22"/>
        </w:rPr>
        <w:t xml:space="preserve">(96) </w:t>
      </w:r>
      <w:r>
        <w:rPr>
          <w:rFonts w:ascii="Times New Roman" w:hAnsi="Times New Roman"/>
          <w:b/>
          <w:i w:val="false"/>
          <w:color w:val="000000"/>
          <w:sz w:val="22"/>
        </w:rPr>
        <w:t xml:space="preserve">Reimbursable employer contributions. </w:t>
      </w:r>
      <w:r>
        <w:rPr>
          <w:rFonts w:ascii="Times New Roman" w:hAnsi="Times New Roman"/>
          <w:b w:val="false"/>
          <w:i w:val="false"/>
          <w:color w:val="000000"/>
          <w:sz w:val="22"/>
        </w:rPr>
        <w:t>A nonprofit organization that has been approved to make payments in lieu of contributions (e.g., a reimbursable employer) will be billed each quarter for benefits paid during such quarter.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23.51(1)</w:t>
      </w:r>
      <w:r>
        <w:rPr>
          <w:rFonts w:ascii="Times New Roman" w:hAnsi="Times New Roman"/>
          <w:b w:val="false"/>
          <w:i w:val="false"/>
          <w:color w:val="000000"/>
          <w:sz w:val="22"/>
        </w:rPr>
        <w:t> </w:t>
      </w:r>
      <w:r>
        <w:rPr>
          <w:rFonts w:ascii="Times New Roman" w:hAnsi="Times New Roman"/>
          <w:b w:val="false"/>
          <w:i w:val="false"/>
          <w:color w:val="000000"/>
          <w:sz w:val="22"/>
        </w:rPr>
        <w:t xml:space="preserve">Charges billed to the employer’s unemployment account are equal to the regular benefits and one-half of the extended benefits paid. Charges are paid to the unemployment fund.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23.51(2)</w:t>
      </w:r>
      <w:r>
        <w:rPr>
          <w:rFonts w:ascii="Times New Roman" w:hAnsi="Times New Roman"/>
          <w:b w:val="false"/>
          <w:i w:val="false"/>
          <w:color w:val="000000"/>
          <w:sz w:val="22"/>
        </w:rPr>
        <w:t> </w:t>
      </w:r>
      <w:r>
        <w:rPr>
          <w:rFonts w:ascii="Times New Roman" w:hAnsi="Times New Roman"/>
          <w:b w:val="false"/>
          <w:i w:val="false"/>
          <w:color w:val="000000"/>
          <w:sz w:val="22"/>
        </w:rPr>
        <w:t>Government and Indian tribal reimbursable employers will be charged an amount equal to all the extended benefits paid.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6">
        <w:r>
          <w:rPr>
            <w:rStyle w:val="Hyperlink"/>
            <w:rFonts w:ascii="Times New Roman" w:hAnsi="Times New Roman"/>
            <w:b w:val="false"/>
            <w:i w:val="false"/>
            <w:color w:val="000000"/>
            <w:sz w:val="22"/>
          </w:rPr>
          <w:t>96.8(5)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871—23.52</w:t>
      </w:r>
      <w:r>
        <w:rPr>
          <w:rFonts w:ascii="Times New Roman" w:hAnsi="Times New Roman"/>
          <w:b/>
          <w:i w:val="false"/>
          <w:color w:val="000000"/>
          <w:sz w:val="22"/>
        </w:rPr>
        <w:t xml:space="preserve">(96) </w:t>
      </w:r>
      <w:r>
        <w:rPr>
          <w:rFonts w:ascii="Times New Roman" w:hAnsi="Times New Roman"/>
          <w:b/>
          <w:i w:val="false"/>
          <w:color w:val="000000"/>
          <w:sz w:val="22"/>
        </w:rPr>
        <w:t xml:space="preserve">Employer liability 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23.52(1)</w:t>
      </w:r>
      <w:r>
        <w:rPr>
          <w:rFonts w:ascii="Times New Roman" w:hAnsi="Times New Roman"/>
          <w:b w:val="false"/>
          <w:i w:val="false"/>
          <w:color w:val="000000"/>
          <w:sz w:val="22"/>
        </w:rPr>
        <w:t> </w:t>
      </w:r>
      <w:r>
        <w:rPr>
          <w:rFonts w:ascii="Times New Roman" w:hAnsi="Times New Roman"/>
          <w:b w:val="false"/>
          <w:i w:val="false"/>
          <w:color w:val="000000"/>
          <w:sz w:val="22"/>
        </w:rPr>
        <w:t>An employer liability determination including employer status and liability, assessments, rate of contributions, successorships, worker’s status, and all questions regarding coverage of a worker or group of workers may be appealed to the department of workforce development for a hearing before an administrative law judge with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23.52(2)</w:t>
      </w:r>
      <w:r>
        <w:rPr>
          <w:rFonts w:ascii="Times New Roman" w:hAnsi="Times New Roman"/>
          <w:b w:val="false"/>
          <w:i w:val="false"/>
          <w:color w:val="000000"/>
          <w:sz w:val="22"/>
        </w:rPr>
        <w:t> </w:t>
      </w:r>
      <w:r>
        <w:rPr>
          <w:rFonts w:ascii="Times New Roman" w:hAnsi="Times New Roman"/>
          <w:b w:val="false"/>
          <w:i w:val="false"/>
          <w:color w:val="000000"/>
          <w:sz w:val="22"/>
        </w:rPr>
        <w:t>The appeal must be in writing, stating: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Iowa employer account number of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official position of the person filing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decision that is being appealed.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grounds upon which the appeal is based.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23.52(3)</w:t>
      </w:r>
      <w:r>
        <w:rPr>
          <w:rFonts w:ascii="Times New Roman" w:hAnsi="Times New Roman"/>
          <w:b w:val="false"/>
          <w:i w:val="false"/>
          <w:color w:val="000000"/>
          <w:sz w:val="22"/>
        </w:rPr>
        <w:t> </w:t>
      </w:r>
      <w:r>
        <w:rPr>
          <w:rFonts w:ascii="Times New Roman" w:hAnsi="Times New Roman"/>
          <w:b w:val="false"/>
          <w:i w:val="false"/>
          <w:color w:val="000000"/>
          <w:sz w:val="22"/>
        </w:rPr>
        <w:t>The appeal shall be addressed or delivered to: Department of Workforce Development, Tax Bureau, 1000 East Grand Avenue, Des Moines, Iowa 50319. Appeals transmitted by facsimile that are received by the tax bureau after 11:59 p.m. central time will be deemed filed as of the next regular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23.52(4)</w:t>
      </w:r>
      <w:r>
        <w:rPr>
          <w:rFonts w:ascii="Times New Roman" w:hAnsi="Times New Roman"/>
          <w:b w:val="false"/>
          <w:i w:val="false"/>
          <w:color w:val="000000"/>
          <w:sz w:val="22"/>
        </w:rPr>
        <w:t> </w:t>
      </w:r>
      <w:r>
        <w:rPr>
          <w:rFonts w:ascii="Times New Roman" w:hAnsi="Times New Roman"/>
          <w:b w:val="false"/>
          <w:i w:val="false"/>
          <w:color w:val="000000"/>
          <w:sz w:val="22"/>
        </w:rPr>
        <w:t>Unless otherwise required, all determinations by the tax bureau will be sent by regular mail or email, depending on how the employer elected to receive correspondence. The determination will be dated, and the employer or other interested party shall have 30 days from the mailing date printed on the notice to appeal the determination. The employer has 15 days to appeal a Notice of Reimbursable Benefit Charges.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23.52(5)</w:t>
      </w:r>
      <w:r>
        <w:rPr>
          <w:rFonts w:ascii="Times New Roman" w:hAnsi="Times New Roman"/>
          <w:b w:val="false"/>
          <w:i w:val="false"/>
          <w:color w:val="000000"/>
          <w:sz w:val="22"/>
        </w:rPr>
        <w:t> </w:t>
      </w:r>
      <w:r>
        <w:rPr>
          <w:rFonts w:ascii="Times New Roman" w:hAnsi="Times New Roman"/>
          <w:b w:val="false"/>
          <w:i w:val="false"/>
          <w:color w:val="000000"/>
          <w:sz w:val="22"/>
        </w:rPr>
        <w:t>If the department concludes, upon reviewing an appeal, that the original determination is correct, the tax bureau may write to the employer and further explain the decision. If the employer still desires a hearing before an administrative law judge, the employer should notify the department within 30 days of the date of the letter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23.52(6)</w:t>
      </w:r>
      <w:r>
        <w:rPr>
          <w:rFonts w:ascii="Times New Roman" w:hAnsi="Times New Roman"/>
          <w:b w:val="false"/>
          <w:i w:val="false"/>
          <w:color w:val="000000"/>
          <w:sz w:val="22"/>
        </w:rPr>
        <w:t> </w:t>
      </w:r>
      <w:r>
        <w:rPr>
          <w:rFonts w:ascii="Times New Roman" w:hAnsi="Times New Roman"/>
          <w:b w:val="false"/>
          <w:i w:val="false"/>
          <w:color w:val="000000"/>
          <w:sz w:val="22"/>
        </w:rPr>
        <w:t xml:space="preserve">Upon receipt of a request for hearing, the tax bureau will ask the department of inspections, appeals, and licensing to schedule a hearing for the employer. A copy of the request will be mailed to the employer. A copy of the file containing all relevant information regarding the issue of the appeal shall be forwarded to the administrative law judge. Documents that may be sent to the administrative law judge include a copy of the disputed decision, the employer’s original letter of appeal, all relevant correspondence from the department, and the employer’s letter requesting a hearing. All employer liability appeals shall be heard by an administrative law judge and shall be scheduled for hearing at the earliest possible date. Procedures for employer liability hearings are set out in rule </w:t>
      </w:r>
      <w:hyperlink r:id="rId117">
        <w:r>
          <w:rPr>
            <w:rStyle w:val="Hyperlink"/>
            <w:rFonts w:ascii="Times New Roman" w:hAnsi="Times New Roman"/>
            <w:b w:val="false"/>
            <w:i w:val="false"/>
            <w:color w:val="000000"/>
            <w:sz w:val="22"/>
          </w:rPr>
          <w:t>871—26.5</w:t>
        </w:r>
      </w:hyperlink>
      <w:r>
        <w:rPr>
          <w:rFonts w:ascii="Times New Roman" w:hAnsi="Times New Roman"/>
          <w:b w:val="false"/>
          <w:i w:val="false"/>
          <w:color w:val="000000"/>
          <w:sz w:val="22"/>
        </w:rPr>
        <w:t>(17A,96).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23.52(7)</w:t>
      </w:r>
      <w:r>
        <w:rPr>
          <w:rFonts w:ascii="Times New Roman" w:hAnsi="Times New Roman"/>
          <w:b w:val="false"/>
          <w:i w:val="false"/>
          <w:color w:val="000000"/>
          <w:sz w:val="22"/>
        </w:rPr>
        <w:t> </w:t>
      </w:r>
      <w:r>
        <w:rPr>
          <w:rFonts w:ascii="Times New Roman" w:hAnsi="Times New Roman"/>
          <w:b w:val="false"/>
          <w:i w:val="false"/>
          <w:color w:val="000000"/>
          <w:sz w:val="22"/>
        </w:rPr>
        <w:t>In those cases in which the department finds that a genuine controversy exists or has existed regarding an employing unit’s liability for contributions on all or a part of its employees or a rate appeal or other employer liability question and the case has been resolved against such employing unit, no interest or penalty will accrue from the date of such controversy between the department and the employing unit until 30 days after the decision becomes final.</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8">
        <w:r>
          <w:rPr>
            <w:rStyle w:val="Hyperlink"/>
            <w:rFonts w:ascii="Times New Roman" w:hAnsi="Times New Roman"/>
            <w:b w:val="false"/>
            <w:i w:val="false"/>
            <w:color w:val="000000"/>
            <w:sz w:val="22"/>
          </w:rPr>
          <w:t>96.6(3)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871—23.53</w:t>
      </w:r>
      <w:r>
        <w:rPr>
          <w:rFonts w:ascii="Times New Roman" w:hAnsi="Times New Roman"/>
          <w:b/>
          <w:i w:val="false"/>
          <w:color w:val="000000"/>
          <w:sz w:val="22"/>
        </w:rPr>
        <w:t xml:space="preserve">(96) </w:t>
      </w:r>
      <w:r>
        <w:rPr>
          <w:rFonts w:ascii="Times New Roman" w:hAnsi="Times New Roman"/>
          <w:b/>
          <w:i w:val="false"/>
          <w:color w:val="000000"/>
          <w:sz w:val="22"/>
        </w:rPr>
        <w:t xml:space="preserve">Rate appeal and eligibility decision reversal. </w:t>
      </w:r>
      <w:r>
        <w:rPr>
          <w:rFonts w:ascii="Times New Roman" w:hAnsi="Times New Roman"/>
          <w:b w:val="false"/>
          <w:i w:val="false"/>
          <w:color w:val="000000"/>
          <w:sz w:val="22"/>
        </w:rPr>
        <w:t>An employer who appeals a rate notice or corrected rate notice within 30 days may have its rate recomputed based upon the reversal of a benefit eligibility decision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23.53(1)</w:t>
      </w:r>
      <w:r>
        <w:rPr>
          <w:rFonts w:ascii="Times New Roman" w:hAnsi="Times New Roman"/>
          <w:b w:val="false"/>
          <w:i w:val="false"/>
          <w:color w:val="000000"/>
          <w:sz w:val="22"/>
        </w:rPr>
        <w:t> </w:t>
      </w:r>
      <w:r>
        <w:rPr>
          <w:rFonts w:ascii="Times New Roman" w:hAnsi="Times New Roman"/>
          <w:b w:val="false"/>
          <w:i w:val="false"/>
          <w:color w:val="000000"/>
          <w:sz w:val="22"/>
        </w:rPr>
        <w:t>An employer may appeal on the grounds that benefit charges against the employer’s account have been reversed by a decision issued after the rate computation date. The department will investigate and, if warranted, remove benefit charges that were reversed by a later decision and issue a corrected rate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employer may appeal on the grounds that benefits charged against the employer’s account may be reversed by a decision to be issued on a pending claim or charge-back appeal. The employer’s rate will not be recomputed, but it will not become final and the appeal may be reopened by the employer, provided the employer submits a written request to reopen the appeal within 30 days of the next rate notice following the decision. If warranted, the charges will be removed from the computation of the original rate and a corrected rate notice will be issued. The employer must pay any contributions that become due at the disputed rate prior to the receipt of the decision reversing the benefit charges, but a refund of any overpayment of contributions and interest paid by the employer as a result of the recomputation of the rate will be issued, subject to the three-year statute of limitations set out in Iowa Code section </w:t>
      </w:r>
      <w:hyperlink r:id="rId119">
        <w:r>
          <w:rPr>
            <w:rStyle w:val="Hyperlink"/>
            <w:rFonts w:ascii="Times New Roman" w:hAnsi="Times New Roman"/>
            <w:b w:val="false"/>
            <w:i w:val="false"/>
            <w:color w:val="000000"/>
            <w:sz w:val="22"/>
          </w:rPr>
          <w:t>96.14(5)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23.53(3)</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employer’s payment of contributions at the disputed rate in the circumstances described in subrule </w:t>
      </w:r>
      <w:r>
        <w:rPr>
          <w:rFonts w:ascii="Times New Roman" w:hAnsi="Times New Roman"/>
          <w:b w:val="false"/>
          <w:i w:val="false"/>
          <w:color w:val="000000"/>
          <w:sz w:val="22"/>
        </w:rPr>
        <w:t>23.53(2)</w:t>
      </w:r>
      <w:r>
        <w:rPr>
          <w:rFonts w:ascii="Times New Roman" w:hAnsi="Times New Roman"/>
          <w:b w:val="false"/>
          <w:i w:val="false"/>
          <w:color w:val="000000"/>
          <w:sz w:val="22"/>
        </w:rPr>
        <w:t xml:space="preserve"> does not indicate the employer’s acceptance of the disputed rate.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23.53(4)</w:t>
      </w:r>
      <w:r>
        <w:rPr>
          <w:rFonts w:ascii="Times New Roman" w:hAnsi="Times New Roman"/>
          <w:b w:val="false"/>
          <w:i w:val="false"/>
          <w:color w:val="000000"/>
          <w:sz w:val="22"/>
        </w:rPr>
        <w:t> </w:t>
      </w:r>
      <w:r>
        <w:rPr>
          <w:rFonts w:ascii="Times New Roman" w:hAnsi="Times New Roman"/>
          <w:b w:val="false"/>
          <w:i w:val="false"/>
          <w:color w:val="000000"/>
          <w:sz w:val="22"/>
        </w:rPr>
        <w:t>An employer must file a separate appeal of each rate notice received that contains the disputed benefit charges. If the employer does not file a timely appeal of each affected rate notice, any appeal filed following receipt of a decision reversing the allowance of benefits will be considered as applying only to rate notices that were timely appealed and to the next rate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23.53(5)</w:t>
      </w:r>
      <w:r>
        <w:rPr>
          <w:rFonts w:ascii="Times New Roman" w:hAnsi="Times New Roman"/>
          <w:b w:val="false"/>
          <w:i w:val="false"/>
          <w:color w:val="000000"/>
          <w:sz w:val="22"/>
        </w:rPr>
        <w:t> </w:t>
      </w:r>
      <w:r>
        <w:rPr>
          <w:rFonts w:ascii="Times New Roman" w:hAnsi="Times New Roman"/>
          <w:b w:val="false"/>
          <w:i w:val="false"/>
          <w:color w:val="000000"/>
          <w:sz w:val="22"/>
        </w:rPr>
        <w:t>If the employer appeals on the grounds that the benefits charged against the employer’s account were paid to an employee who was still working for the employer in the same employment as in the base period of the claim, the department will remove the charges and will issue a corrected rate notice if it finds the facts warrant such reversal. The employer’s appeal must have been made within 30 days of the date on the first rate notice received that included any of the disputed charges, and the issue of charging of benefits will not have been previously adjudicated in either an appeal of the original claim notice or an appeal of a quarterly benefit charge statement.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0">
        <w:r>
          <w:rPr>
            <w:rStyle w:val="Hyperlink"/>
            <w:rFonts w:ascii="Times New Roman" w:hAnsi="Times New Roman"/>
            <w:b w:val="false"/>
            <w:i w:val="false"/>
            <w:color w:val="000000"/>
            <w:sz w:val="22"/>
          </w:rPr>
          <w:t>96.7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871—23.54</w:t>
      </w:r>
      <w:r>
        <w:rPr>
          <w:rFonts w:ascii="Times New Roman" w:hAnsi="Times New Roman"/>
          <w:b/>
          <w:i w:val="false"/>
          <w:color w:val="000000"/>
          <w:sz w:val="22"/>
        </w:rPr>
        <w:t xml:space="preserve">(96) </w:t>
      </w:r>
      <w:r>
        <w:rPr>
          <w:rFonts w:ascii="Times New Roman" w:hAnsi="Times New Roman"/>
          <w:b/>
          <w:i w:val="false"/>
          <w:color w:val="000000"/>
          <w:sz w:val="22"/>
        </w:rPr>
        <w:t xml:space="preserve">Payment of disputed assessments.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23.54(1)</w:t>
      </w:r>
      <w:r>
        <w:rPr>
          <w:rFonts w:ascii="Times New Roman" w:hAnsi="Times New Roman"/>
          <w:b w:val="false"/>
          <w:i w:val="false"/>
          <w:color w:val="000000"/>
          <w:sz w:val="22"/>
        </w:rPr>
        <w:t> </w:t>
      </w:r>
      <w:r>
        <w:rPr>
          <w:rFonts w:ascii="Times New Roman" w:hAnsi="Times New Roman"/>
          <w:b w:val="false"/>
          <w:i w:val="false"/>
          <w:color w:val="000000"/>
          <w:sz w:val="22"/>
        </w:rPr>
        <w:t>Payment of a disputed assessment is held to be an acceptance of the assessment only when a timely appeal is not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23.54(2)</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employing unit that has appealed a determination of liability, or a payment of contributions due, shall submit full payment of any disputed assessment or amounts estimated to be due and file quarterly contribution and payroll for all quarters for which the employer is held liable regardless of any appeal.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1">
        <w:r>
          <w:rPr>
            <w:rStyle w:val="Hyperlink"/>
            <w:rFonts w:ascii="Times New Roman" w:hAnsi="Times New Roman"/>
            <w:b w:val="false"/>
            <w:i w:val="false"/>
            <w:color w:val="000000"/>
            <w:sz w:val="22"/>
          </w:rPr>
          <w:t>96.7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871—23.55</w:t>
      </w:r>
      <w:r>
        <w:rPr>
          <w:rFonts w:ascii="Times New Roman" w:hAnsi="Times New Roman"/>
          <w:b/>
          <w:i w:val="false"/>
          <w:color w:val="000000"/>
          <w:sz w:val="22"/>
        </w:rPr>
        <w:t xml:space="preserve">(96) </w:t>
      </w:r>
      <w:r>
        <w:rPr>
          <w:rFonts w:ascii="Times New Roman" w:hAnsi="Times New Roman"/>
          <w:b/>
          <w:i w:val="false"/>
          <w:color w:val="000000"/>
          <w:sz w:val="22"/>
        </w:rPr>
        <w:t xml:space="preserve">Burden of proof.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23.55(1)</w:t>
      </w:r>
      <w:r>
        <w:rPr>
          <w:rFonts w:ascii="Times New Roman" w:hAnsi="Times New Roman"/>
          <w:b w:val="false"/>
          <w:i w:val="false"/>
          <w:color w:val="000000"/>
          <w:sz w:val="22"/>
        </w:rPr>
        <w:t> </w:t>
      </w:r>
      <w:r>
        <w:rPr>
          <w:rFonts w:ascii="Times New Roman" w:hAnsi="Times New Roman"/>
          <w:b w:val="false"/>
          <w:i w:val="false"/>
          <w:color w:val="000000"/>
          <w:sz w:val="22"/>
        </w:rPr>
        <w:t>The employer bears the burden of proof in all employer liability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23.55(2)</w:t>
      </w:r>
      <w:r>
        <w:rPr>
          <w:rFonts w:ascii="Times New Roman" w:hAnsi="Times New Roman"/>
          <w:b w:val="false"/>
          <w:i w:val="false"/>
          <w:color w:val="000000"/>
          <w:sz w:val="22"/>
        </w:rPr>
        <w:t> </w:t>
      </w:r>
      <w:r>
        <w:rPr>
          <w:rFonts w:ascii="Times New Roman" w:hAnsi="Times New Roman"/>
          <w:b w:val="false"/>
          <w:i w:val="false"/>
          <w:color w:val="000000"/>
          <w:sz w:val="22"/>
        </w:rPr>
        <w:t>The burden of proof shall rest with an employing unit that employs any individual during any calendar year but that considers itself not an employer subject to the Act, to establish that it is not an employer subject to the Act by presenting proper records, including a record of the identity of the employees, number of individuals employed during each week, and the particular days of each week on which services have been performed, and the amount of wages paid to each employee.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23.55(3)</w:t>
      </w:r>
      <w:r>
        <w:rPr>
          <w:rFonts w:ascii="Times New Roman" w:hAnsi="Times New Roman"/>
          <w:b w:val="false"/>
          <w:i w:val="false"/>
          <w:color w:val="000000"/>
          <w:sz w:val="22"/>
        </w:rPr>
        <w:t> </w:t>
      </w:r>
      <w:r>
        <w:rPr>
          <w:rFonts w:ascii="Times New Roman" w:hAnsi="Times New Roman"/>
          <w:b w:val="false"/>
          <w:i w:val="false"/>
          <w:color w:val="000000"/>
          <w:sz w:val="22"/>
        </w:rPr>
        <w:t>The burden of proof in successorship and partial successorship cases for determinations, appeals, and licensing shall rest with the employer that is appealing the determination of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2">
        <w:r>
          <w:rPr>
            <w:rStyle w:val="Hyperlink"/>
            <w:rFonts w:ascii="Times New Roman" w:hAnsi="Times New Roman"/>
            <w:b w:val="false"/>
            <w:i w:val="false"/>
            <w:color w:val="000000"/>
            <w:sz w:val="22"/>
          </w:rPr>
          <w:t>96.7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871—23.56</w:t>
      </w:r>
      <w:r>
        <w:rPr>
          <w:rFonts w:ascii="Times New Roman" w:hAnsi="Times New Roman"/>
          <w:b/>
          <w:i w:val="false"/>
          <w:color w:val="000000"/>
          <w:sz w:val="22"/>
        </w:rPr>
        <w:t xml:space="preserve">(96) </w:t>
      </w:r>
      <w:r>
        <w:rPr>
          <w:rFonts w:ascii="Times New Roman" w:hAnsi="Times New Roman"/>
          <w:b/>
          <w:i w:val="false"/>
          <w:color w:val="000000"/>
          <w:sz w:val="22"/>
        </w:rPr>
        <w:t xml:space="preserve">Informal settlement.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23.56(1)</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chapter </w:t>
      </w:r>
      <w:hyperlink r:id="rId12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 controversy may, unless precluded by statute, at the discretion of the department be informally settled by mutual agreement of the department and the person or employer who is or is about to be engaged in the controversy. The settlement is effected by a written statement reciting the subject of the controversy and the proposed solution mutually agreed upon including a statement of the action to be taken, or to be refrained from, by each of the parties. The informal settlement constitutes a waiver, by all parties, of the formalities to which they are entitled under the terms of Iowa Code chapter </w:t>
      </w:r>
      <w:hyperlink r:id="rId12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with respect to the specific fact situation comprising the controversy.</w:t>
      </w:r>
    </w:p>
    <w:p>
      <w:pPr>
        <w:spacing w:before="0" w:after="0"/>
        <w:ind w:left="120"/>
        <w:jc w:val="both"/>
      </w:pPr>
      <w:r>
        <w:rPr>
          <w:rFonts w:ascii="Times New Roman" w:hAnsi="Times New Roman"/>
          <w:b w:val="false"/>
          <w:i w:val="false"/>
          <w:color w:val="000000"/>
          <w:sz w:val="22"/>
        </w:rPr>
        <w:t>Either party may initiate a proposal for informal settlement of the controversy by communicating a proposal to the other party before the contested hearing is convened.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23.56(2)</w:t>
      </w:r>
      <w:r>
        <w:rPr>
          <w:rFonts w:ascii="Times New Roman" w:hAnsi="Times New Roman"/>
          <w:b w:val="false"/>
          <w:i w:val="false"/>
          <w:color w:val="000000"/>
          <w:sz w:val="22"/>
        </w:rPr>
        <w:t> </w:t>
      </w:r>
      <w:r>
        <w:rPr>
          <w:rFonts w:ascii="Times New Roman" w:hAnsi="Times New Roman"/>
          <w:b w:val="false"/>
          <w:i w:val="false"/>
          <w:color w:val="000000"/>
          <w:sz w:val="22"/>
        </w:rPr>
        <w:t>If the parties agree to a settlement, the written statement is presented to the administrator of the division of unemployment insurance services for review and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23.56(3)</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a settlement is reached in a case that has been appealed to the courts, the formal settlement will be presented to the appropriate district court. If an assessment of contributions or a decision upon which an assessment is based has become final without appeal, the actual established contribution may be compromised by agreement of the parties and submission to the district court pursuant to Iowa Code section </w:t>
      </w:r>
      <w:hyperlink r:id="rId125">
        <w:r>
          <w:rPr>
            <w:rStyle w:val="Hyperlink"/>
            <w:rFonts w:ascii="Times New Roman" w:hAnsi="Times New Roman"/>
            <w:b w:val="false"/>
            <w:i w:val="false"/>
            <w:color w:val="000000"/>
            <w:sz w:val="22"/>
          </w:rPr>
          <w:t>96.14(5)</w:t>
        </w:r>
      </w:hyperlink>
      <w:r>
        <w:rPr>
          <w:rFonts w:ascii="Times New Roman" w:hAnsi="Times New Roman"/>
          <w:b w:val="false"/>
          <w:i w:val="false"/>
          <w:color w:val="000000"/>
          <w:sz w:val="22"/>
        </w:rPr>
        <w:t xml:space="preserve">. Doubtful collectibility as contained in Iowa Code section </w:t>
      </w:r>
      <w:hyperlink r:id="rId126">
        <w:r>
          <w:rPr>
            <w:rStyle w:val="Hyperlink"/>
            <w:rFonts w:ascii="Times New Roman" w:hAnsi="Times New Roman"/>
            <w:b w:val="false"/>
            <w:i w:val="false"/>
            <w:color w:val="000000"/>
            <w:sz w:val="22"/>
          </w:rPr>
          <w:t>96.14(5)</w:t>
        </w:r>
      </w:hyperlink>
      <w:r>
        <w:rPr>
          <w:rFonts w:ascii="Times New Roman" w:hAnsi="Times New Roman"/>
          <w:b w:val="false"/>
          <w:i w:val="false"/>
          <w:color w:val="000000"/>
          <w:sz w:val="22"/>
        </w:rPr>
        <w:t xml:space="preserve"> includes tax debts that are doubtful as to validity or as to collectibility. The department is not required to enter into any informal settlement or compromise with regard to any employer liability determination and may do so at its own discretion.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7">
        <w:r>
          <w:rPr>
            <w:rStyle w:val="Hyperlink"/>
            <w:rFonts w:ascii="Times New Roman" w:hAnsi="Times New Roman"/>
            <w:b w:val="false"/>
            <w:i w:val="false"/>
            <w:color w:val="000000"/>
            <w:sz w:val="22"/>
          </w:rPr>
          <w:t>96.6(3)</w:t>
        </w:r>
      </w:hyperlink>
      <w:r>
        <w:rPr>
          <w:rFonts w:ascii="Times New Roman" w:hAnsi="Times New Roman"/>
          <w:b w:val="false"/>
          <w:i w:val="false"/>
          <w:color w:val="000000"/>
          <w:sz w:val="22"/>
        </w:rPr>
        <w:t xml:space="preserve"> and </w:t>
      </w:r>
      <w:hyperlink r:id="rId128">
        <w:r>
          <w:rPr>
            <w:rStyle w:val="Hyperlink"/>
            <w:rFonts w:ascii="Times New Roman" w:hAnsi="Times New Roman"/>
            <w:b w:val="false"/>
            <w:i w:val="false"/>
            <w:color w:val="000000"/>
            <w:sz w:val="22"/>
          </w:rPr>
          <w:t>96.14(7)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871—23.57</w:t>
      </w:r>
      <w:r>
        <w:rPr>
          <w:rFonts w:ascii="Times New Roman" w:hAnsi="Times New Roman"/>
          <w:b/>
          <w:i w:val="false"/>
          <w:color w:val="000000"/>
          <w:sz w:val="22"/>
        </w:rPr>
        <w:t xml:space="preserve">(96) </w:t>
      </w:r>
      <w:r>
        <w:rPr>
          <w:rFonts w:ascii="Times New Roman" w:hAnsi="Times New Roman"/>
          <w:b/>
          <w:i w:val="false"/>
          <w:color w:val="000000"/>
          <w:sz w:val="22"/>
        </w:rPr>
        <w:t xml:space="preserve">Interest and penalty on contributions paid with adjustments submitted by employer.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23.57(1)</w:t>
      </w:r>
      <w:r>
        <w:rPr>
          <w:rFonts w:ascii="Times New Roman" w:hAnsi="Times New Roman"/>
          <w:b w:val="false"/>
          <w:i w:val="false"/>
          <w:color w:val="000000"/>
          <w:sz w:val="22"/>
        </w:rPr>
        <w:t> </w:t>
      </w:r>
      <w:r>
        <w:rPr>
          <w:rFonts w:ascii="Times New Roman" w:hAnsi="Times New Roman"/>
          <w:b w:val="false"/>
          <w:i w:val="false"/>
          <w:color w:val="000000"/>
          <w:sz w:val="22"/>
        </w:rPr>
        <w:t>If an employer, on its own motion, submits an adjustment for an error made on previously submitted wage detail and pays any additional contributions due on the adjustment when submitting the adjustment, no interest on the additional contributions will be charged if it is shown to the satisfaction of the department that the error and subsequent late payment were not the result of negligence, fraud, or intentional disregard of the law or rules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23.57(2)</w:t>
      </w:r>
      <w:r>
        <w:rPr>
          <w:rFonts w:ascii="Times New Roman" w:hAnsi="Times New Roman"/>
          <w:b w:val="false"/>
          <w:i w:val="false"/>
          <w:color w:val="000000"/>
          <w:sz w:val="22"/>
        </w:rPr>
        <w:t> </w:t>
      </w:r>
      <w:r>
        <w:rPr>
          <w:rFonts w:ascii="Times New Roman" w:hAnsi="Times New Roman"/>
          <w:b w:val="false"/>
          <w:i w:val="false"/>
          <w:color w:val="000000"/>
          <w:sz w:val="22"/>
        </w:rPr>
        <w:t>If an employer submits an adjustment without payment, and payment is due, the employer will be assessed for the additional contributions plus interest as provided by law.</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9">
        <w:r>
          <w:rPr>
            <w:rStyle w:val="Hyperlink"/>
            <w:rFonts w:ascii="Times New Roman" w:hAnsi="Times New Roman"/>
            <w:b w:val="false"/>
            <w:i w:val="false"/>
            <w:color w:val="000000"/>
            <w:sz w:val="22"/>
          </w:rPr>
          <w:t>96.14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871—23.58</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871—23.59</w:t>
      </w:r>
      <w:r>
        <w:rPr>
          <w:rFonts w:ascii="Times New Roman" w:hAnsi="Times New Roman"/>
          <w:b/>
          <w:i w:val="false"/>
          <w:color w:val="000000"/>
          <w:sz w:val="22"/>
        </w:rPr>
        <w:t xml:space="preserve">(96) </w:t>
      </w:r>
      <w:r>
        <w:rPr>
          <w:rFonts w:ascii="Times New Roman" w:hAnsi="Times New Roman"/>
          <w:b/>
          <w:i w:val="false"/>
          <w:color w:val="000000"/>
          <w:sz w:val="22"/>
        </w:rPr>
        <w:t xml:space="preserve">Determination and assessment of estimated contributions and errors in reporting.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23.59(1)</w:t>
      </w:r>
      <w:r>
        <w:rPr>
          <w:rFonts w:ascii="Times New Roman" w:hAnsi="Times New Roman"/>
          <w:b w:val="false"/>
          <w:i w:val="false"/>
          <w:color w:val="000000"/>
          <w:sz w:val="22"/>
        </w:rPr>
        <w:t> </w:t>
      </w:r>
      <w:r>
        <w:rPr>
          <w:rFonts w:ascii="Times New Roman" w:hAnsi="Times New Roman"/>
          <w:b w:val="false"/>
          <w:i w:val="false"/>
          <w:color w:val="000000"/>
          <w:sz w:val="22"/>
        </w:rPr>
        <w:t>If the department finds from the examination of the employer’s account that contributions have been underpaid because of a department error in assigning the contribution rate, the additional contributions shall be paid within 30 days after the department notifies the employer. No interest or penalty will accrue until 30 days after the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23.59(2)</w:t>
      </w:r>
      <w:r>
        <w:rPr>
          <w:rFonts w:ascii="Times New Roman" w:hAnsi="Times New Roman"/>
          <w:b w:val="false"/>
          <w:i w:val="false"/>
          <w:color w:val="000000"/>
          <w:sz w:val="22"/>
        </w:rPr>
        <w:t> </w:t>
      </w:r>
      <w:r>
        <w:rPr>
          <w:rFonts w:ascii="Times New Roman" w:hAnsi="Times New Roman"/>
          <w:b w:val="false"/>
          <w:i w:val="false"/>
          <w:color w:val="000000"/>
          <w:sz w:val="22"/>
        </w:rPr>
        <w:t>Assessment—failure to file quarterly contribution and payroll.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any employing unit fails to file quarterly contribution and payroll reports as required, the department may file estimated wage reports based on the available information. The employer is responsible for all tax, interest and penalties on estimated wage reports.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Whenever the department determines that the collection of contributions from an employer is in jeopardy and the employer has not timely filed the necessary quarterly wage reports, the department shall prepare estimated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Estimates made by authorized personnel shall be referred to the collection unit.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0">
        <w:r>
          <w:rPr>
            <w:rStyle w:val="Hyperlink"/>
            <w:rFonts w:ascii="Times New Roman" w:hAnsi="Times New Roman"/>
            <w:b w:val="false"/>
            <w:i w:val="false"/>
            <w:color w:val="000000"/>
            <w:sz w:val="22"/>
          </w:rPr>
          <w:t>96.7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871—23.60</w:t>
      </w:r>
      <w:r>
        <w:rPr>
          <w:rFonts w:ascii="Times New Roman" w:hAnsi="Times New Roman"/>
          <w:b/>
          <w:i w:val="false"/>
          <w:color w:val="000000"/>
          <w:sz w:val="22"/>
        </w:rPr>
        <w:t xml:space="preserve">(96) </w:t>
      </w:r>
      <w:r>
        <w:rPr>
          <w:rFonts w:ascii="Times New Roman" w:hAnsi="Times New Roman"/>
          <w:b/>
          <w:i w:val="false"/>
          <w:color w:val="000000"/>
          <w:sz w:val="22"/>
        </w:rPr>
        <w:t xml:space="preserve">Accrual of interest and 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23.60(1)</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employer who fails to file timely and accurate quarterly wage reports shall pay to the department a penalty in accordance with Iowa Code section </w:t>
      </w:r>
      <w:hyperlink r:id="rId131">
        <w:r>
          <w:rPr>
            <w:rStyle w:val="Hyperlink"/>
            <w:rFonts w:ascii="Times New Roman" w:hAnsi="Times New Roman"/>
            <w:b w:val="false"/>
            <w:i w:val="false"/>
            <w:color w:val="000000"/>
            <w:sz w:val="22"/>
          </w:rPr>
          <w:t>96.14(2)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23.60(2)</w:t>
      </w:r>
      <w:r>
        <w:rPr>
          <w:rFonts w:ascii="Times New Roman" w:hAnsi="Times New Roman"/>
          <w:b w:val="false"/>
          <w:i w:val="false"/>
          <w:color w:val="000000"/>
          <w:sz w:val="22"/>
        </w:rPr>
        <w:t> </w:t>
      </w:r>
      <w:r>
        <w:rPr>
          <w:rFonts w:ascii="Times New Roman" w:hAnsi="Times New Roman"/>
          <w:b w:val="false"/>
          <w:i w:val="false"/>
          <w:color w:val="000000"/>
          <w:sz w:val="22"/>
        </w:rPr>
        <w:t>The amount of the penalty for a delinquent or insufficient quarterly contribution and payroll is based on the total wages paid by the employer in the period for which the report was due. The penalty may not be less than $35 for the delinquency or the insufficient wage detail not made sufficient within 30 days of a request to do so. Insufficient wage detail is defined as a quarterly submission that does not have all social security numbers, all corresponding names, total wages for each employee, or a reporting unit number. Wage detail submitted without a correct account number, federal employer identification number, labor market information, or wage detail submitted for an unemployment account that has not yet been established by the employer or agent may be considered insufficient.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23.60(3)</w:t>
      </w:r>
      <w:r>
        <w:rPr>
          <w:rFonts w:ascii="Times New Roman" w:hAnsi="Times New Roman"/>
          <w:b w:val="false"/>
          <w:i w:val="false"/>
          <w:color w:val="000000"/>
          <w:sz w:val="22"/>
        </w:rPr>
        <w:t> </w:t>
      </w:r>
      <w:r>
        <w:rPr>
          <w:rFonts w:ascii="Times New Roman" w:hAnsi="Times New Roman"/>
          <w:b w:val="false"/>
          <w:i w:val="false"/>
          <w:color w:val="000000"/>
          <w:sz w:val="22"/>
        </w:rPr>
        <w:t xml:space="preserve">Interest and penalty will not accrue with respect to contributions required from an employer based upon wages for employment in those cases in which the employer’s liability is based solely upon the provisions of Iowa Code section </w:t>
      </w:r>
      <w:hyperlink r:id="rId132">
        <w:r>
          <w:rPr>
            <w:rStyle w:val="Hyperlink"/>
            <w:rFonts w:ascii="Times New Roman" w:hAnsi="Times New Roman"/>
            <w:b w:val="false"/>
            <w:i w:val="false"/>
            <w:color w:val="000000"/>
            <w:sz w:val="22"/>
          </w:rPr>
          <w:t>96.1A(14)</w:t>
        </w:r>
      </w:hyperlink>
      <w:r>
        <w:rPr>
          <w:rFonts w:ascii="Times New Roman" w:hAnsi="Times New Roman"/>
          <w:b w:val="false"/>
          <w:i/>
          <w:color w:val="000000"/>
          <w:sz w:val="22"/>
        </w:rPr>
        <w:t>“g”</w:t>
      </w:r>
      <w:r>
        <w:rPr>
          <w:rFonts w:ascii="Times New Roman" w:hAnsi="Times New Roman"/>
          <w:b w:val="false"/>
          <w:i w:val="false"/>
          <w:color w:val="000000"/>
          <w:sz w:val="22"/>
        </w:rPr>
        <w:t xml:space="preserve"> until 30 days after determination of such liability under FUTA.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23.60(4)</w:t>
      </w:r>
      <w:r>
        <w:rPr>
          <w:rFonts w:ascii="Times New Roman" w:hAnsi="Times New Roman"/>
          <w:b w:val="false"/>
          <w:i w:val="false"/>
          <w:color w:val="000000"/>
          <w:sz w:val="22"/>
        </w:rPr>
        <w:t> </w:t>
      </w:r>
      <w:r>
        <w:rPr>
          <w:rFonts w:ascii="Times New Roman" w:hAnsi="Times New Roman"/>
          <w:b w:val="false"/>
          <w:i w:val="false"/>
          <w:color w:val="000000"/>
          <w:sz w:val="22"/>
        </w:rPr>
        <w:t>Interest and penalty may not accrue in those cases where the department finds that, as a matter of equity and good conscience, the employer should not be required to pay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23.60(5)</w:t>
      </w:r>
      <w:r>
        <w:rPr>
          <w:rFonts w:ascii="Times New Roman" w:hAnsi="Times New Roman"/>
          <w:b w:val="false"/>
          <w:i w:val="false"/>
          <w:color w:val="000000"/>
          <w:sz w:val="22"/>
        </w:rPr>
        <w:t> </w:t>
      </w:r>
      <w:r>
        <w:rPr>
          <w:rFonts w:ascii="Times New Roman" w:hAnsi="Times New Roman"/>
          <w:b w:val="false"/>
          <w:i w:val="false"/>
          <w:color w:val="000000"/>
          <w:sz w:val="22"/>
        </w:rPr>
        <w:t xml:space="preserve">Interest as provided under Iowa Code section </w:t>
      </w:r>
      <w:hyperlink r:id="rId133">
        <w:r>
          <w:rPr>
            <w:rStyle w:val="Hyperlink"/>
            <w:rFonts w:ascii="Times New Roman" w:hAnsi="Times New Roman"/>
            <w:b w:val="false"/>
            <w:i w:val="false"/>
            <w:color w:val="000000"/>
            <w:sz w:val="22"/>
          </w:rPr>
          <w:t>96.14</w:t>
        </w:r>
      </w:hyperlink>
      <w:r>
        <w:rPr>
          <w:rFonts w:ascii="Times New Roman" w:hAnsi="Times New Roman"/>
          <w:b w:val="false"/>
          <w:i w:val="false"/>
          <w:color w:val="000000"/>
          <w:sz w:val="22"/>
        </w:rPr>
        <w:t xml:space="preserve"> accrues 30 days after the quarterly billing to reimbursable employers.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23.60(6)</w:t>
      </w:r>
      <w:r>
        <w:rPr>
          <w:rFonts w:ascii="Times New Roman" w:hAnsi="Times New Roman"/>
          <w:b w:val="false"/>
          <w:i w:val="false"/>
          <w:color w:val="000000"/>
          <w:sz w:val="22"/>
        </w:rPr>
        <w:t> </w:t>
      </w:r>
      <w:r>
        <w:rPr>
          <w:rFonts w:ascii="Times New Roman" w:hAnsi="Times New Roman"/>
          <w:b w:val="false"/>
          <w:i w:val="false"/>
          <w:color w:val="000000"/>
          <w:sz w:val="22"/>
        </w:rPr>
        <w:t>The penalties applicable to contributory employers are applicable to employers who have been approved to make payments in lieu of contributions.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23.60(7)</w:t>
      </w:r>
      <w:r>
        <w:rPr>
          <w:rFonts w:ascii="Times New Roman" w:hAnsi="Times New Roman"/>
          <w:b w:val="false"/>
          <w:i w:val="false"/>
          <w:color w:val="000000"/>
          <w:sz w:val="22"/>
        </w:rPr>
        <w:t> </w:t>
      </w:r>
      <w:r>
        <w:rPr>
          <w:rFonts w:ascii="Times New Roman" w:hAnsi="Times New Roman"/>
          <w:b w:val="false"/>
          <w:i w:val="false"/>
          <w:color w:val="000000"/>
          <w:sz w:val="22"/>
        </w:rPr>
        <w:t>Payment checks not honored by bank. An employer is liable for interest for a check in payment of contributions that is not honored by the bank upon which it is drawn.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4">
        <w:r>
          <w:rPr>
            <w:rStyle w:val="Hyperlink"/>
            <w:rFonts w:ascii="Times New Roman" w:hAnsi="Times New Roman"/>
            <w:b w:val="false"/>
            <w:i w:val="false"/>
            <w:color w:val="000000"/>
            <w:sz w:val="22"/>
          </w:rPr>
          <w:t>96.14(2)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871—23.61</w:t>
      </w:r>
      <w:r>
        <w:rPr>
          <w:rFonts w:ascii="Times New Roman" w:hAnsi="Times New Roman"/>
          <w:b/>
          <w:i w:val="false"/>
          <w:color w:val="000000"/>
          <w:sz w:val="22"/>
        </w:rPr>
        <w:t xml:space="preserve">(96) </w:t>
      </w:r>
      <w:r>
        <w:rPr>
          <w:rFonts w:ascii="Times New Roman" w:hAnsi="Times New Roman"/>
          <w:b/>
          <w:i w:val="false"/>
          <w:color w:val="000000"/>
          <w:sz w:val="22"/>
        </w:rPr>
        <w:t xml:space="preserve">Collection of interest and penalties. </w:t>
      </w:r>
      <w:r>
        <w:rPr>
          <w:rFonts w:ascii="Times New Roman" w:hAnsi="Times New Roman"/>
          <w:b w:val="false"/>
          <w:i w:val="false"/>
          <w:color w:val="000000"/>
          <w:sz w:val="22"/>
        </w:rPr>
        <w:t>When quarterly wage reports are filed with contributions paid, but without payment of penalties and interest due, penalties and interest may be assessed and a lien filed in the same manner as for unpaid contributions.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5">
        <w:r>
          <w:rPr>
            <w:rStyle w:val="Hyperlink"/>
            <w:rFonts w:ascii="Times New Roman" w:hAnsi="Times New Roman"/>
            <w:b w:val="false"/>
            <w:i w:val="false"/>
            <w:color w:val="000000"/>
            <w:sz w:val="22"/>
          </w:rPr>
          <w:t>96.16(4)</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871—23.62</w:t>
      </w:r>
      <w:r>
        <w:rPr>
          <w:rFonts w:ascii="Times New Roman" w:hAnsi="Times New Roman"/>
          <w:b/>
          <w:i w:val="false"/>
          <w:color w:val="000000"/>
          <w:sz w:val="22"/>
        </w:rPr>
        <w:t xml:space="preserve">(96) </w:t>
      </w:r>
      <w:r>
        <w:rPr>
          <w:rFonts w:ascii="Times New Roman" w:hAnsi="Times New Roman"/>
          <w:b/>
          <w:i w:val="false"/>
          <w:color w:val="000000"/>
          <w:sz w:val="22"/>
        </w:rPr>
        <w:t xml:space="preserve">Rescission of interest and penalty.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23.62(1)</w:t>
      </w:r>
      <w:r>
        <w:rPr>
          <w:rFonts w:ascii="Times New Roman" w:hAnsi="Times New Roman"/>
          <w:b w:val="false"/>
          <w:i w:val="false"/>
          <w:color w:val="000000"/>
          <w:sz w:val="22"/>
        </w:rPr>
        <w:t> </w:t>
      </w:r>
      <w:r>
        <w:rPr>
          <w:rFonts w:ascii="Times New Roman" w:hAnsi="Times New Roman"/>
          <w:b w:val="false"/>
          <w:i w:val="false"/>
          <w:color w:val="000000"/>
          <w:sz w:val="22"/>
        </w:rPr>
        <w:t>Interest and penalty charges may be rescinded whenever an employer can provide documentary evidence to the satisfaction of the department that an inquiry in writing was directed to the department within 15 days following the end of the quarter for the contribution or payroll, untimely filed or paid, and such contributions are paid in full.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23.62(2)</w:t>
      </w:r>
      <w:r>
        <w:rPr>
          <w:rFonts w:ascii="Times New Roman" w:hAnsi="Times New Roman"/>
          <w:b w:val="false"/>
          <w:i w:val="false"/>
          <w:color w:val="000000"/>
          <w:sz w:val="22"/>
        </w:rPr>
        <w:t> </w:t>
      </w:r>
      <w:r>
        <w:rPr>
          <w:rFonts w:ascii="Times New Roman" w:hAnsi="Times New Roman"/>
          <w:b w:val="false"/>
          <w:i w:val="false"/>
          <w:color w:val="000000"/>
          <w:sz w:val="22"/>
        </w:rPr>
        <w:t>Penalty charges only may be rescinded whenever the employer can show documentary evidence that the wages paid to employees used to determine liability to the department were reported to another state in good faith and the contributions thereon were properly paid to the state to which the wages were reported and that said employees were fully insured during the period of unreported liability to this department.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6">
        <w:r>
          <w:rPr>
            <w:rStyle w:val="Hyperlink"/>
            <w:rFonts w:ascii="Times New Roman" w:hAnsi="Times New Roman"/>
            <w:b w:val="false"/>
            <w:i w:val="false"/>
            <w:color w:val="000000"/>
            <w:sz w:val="22"/>
          </w:rPr>
          <w:t>96.14(2)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871—23.63</w:t>
      </w:r>
      <w:r>
        <w:rPr>
          <w:rFonts w:ascii="Times New Roman" w:hAnsi="Times New Roman"/>
          <w:b/>
          <w:i w:val="false"/>
          <w:color w:val="000000"/>
          <w:sz w:val="22"/>
        </w:rPr>
        <w:t xml:space="preserve">(96) </w:t>
      </w:r>
      <w:r>
        <w:rPr>
          <w:rFonts w:ascii="Times New Roman" w:hAnsi="Times New Roman"/>
          <w:b/>
          <w:i w:val="false"/>
          <w:color w:val="000000"/>
          <w:sz w:val="22"/>
        </w:rPr>
        <w:t xml:space="preserve">Cancellation of interest and penalty. </w:t>
      </w:r>
      <w:r>
        <w:rPr>
          <w:rFonts w:ascii="Times New Roman" w:hAnsi="Times New Roman"/>
          <w:b w:val="false"/>
          <w:i w:val="false"/>
          <w:color w:val="000000"/>
          <w:sz w:val="22"/>
        </w:rPr>
        <w:t>The department may, at its discretion and for good cause, cancel interest and penalty upon written request from the employer or its agent. Requests should be directed to the department at its administrative office. The employer will be advised if the request is denied.</w:t>
      </w:r>
    </w:p>
    <w:p>
      <w:pPr>
        <w:spacing w:before="0" w:after="0"/>
        <w:ind w:left="120"/>
        <w:jc w:val="both"/>
      </w:pPr>
      <w:r>
        <w:rPr>
          <w:rFonts w:ascii="Times New Roman" w:hAnsi="Times New Roman"/>
          <w:b w:val="false"/>
          <w:i w:val="false"/>
          <w:color w:val="000000"/>
          <w:sz w:val="22"/>
        </w:rPr>
        <w:t>In determining whether good cause has been shown, the department shall consider all relevant factors including but not limited to whether the party acted in the manner that a reasonably prudent individual would have acted under the same or similar circumstances, whether the party received timely notice of the need to act, whether there was administrative error by the department, whether there were factors outside the control of the party that prevented a timely action, the efforts made by the party to seek an extension of time by promptly notifying the department, the party’s physical inability to take timely action, the length of time the action was untimely, and whether any other interested party has been prejudiced by the untimely action.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7">
        <w:r>
          <w:rPr>
            <w:rStyle w:val="Hyperlink"/>
            <w:rFonts w:ascii="Times New Roman" w:hAnsi="Times New Roman"/>
            <w:b w:val="false"/>
            <w:i w:val="false"/>
            <w:color w:val="000000"/>
            <w:sz w:val="22"/>
          </w:rPr>
          <w:t>96.14(2)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871—23.64</w:t>
      </w:r>
      <w:r>
        <w:rPr>
          <w:rFonts w:ascii="Times New Roman" w:hAnsi="Times New Roman"/>
          <w:b/>
          <w:i w:val="false"/>
          <w:color w:val="000000"/>
          <w:sz w:val="22"/>
        </w:rPr>
        <w:t xml:space="preserve">(96) </w:t>
      </w:r>
      <w:r>
        <w:rPr>
          <w:rFonts w:ascii="Times New Roman" w:hAnsi="Times New Roman"/>
          <w:b/>
          <w:i w:val="false"/>
          <w:color w:val="000000"/>
          <w:sz w:val="22"/>
        </w:rPr>
        <w:t xml:space="preserve">Refund of interest and penalty.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23.64(1)</w:t>
      </w:r>
      <w:r>
        <w:rPr>
          <w:rFonts w:ascii="Times New Roman" w:hAnsi="Times New Roman"/>
          <w:b w:val="false"/>
          <w:i w:val="false"/>
          <w:color w:val="000000"/>
          <w:sz w:val="22"/>
        </w:rPr>
        <w:t> </w:t>
      </w:r>
      <w:r>
        <w:rPr>
          <w:rFonts w:ascii="Times New Roman" w:hAnsi="Times New Roman"/>
          <w:b w:val="false"/>
          <w:i w:val="false"/>
          <w:color w:val="000000"/>
          <w:sz w:val="22"/>
        </w:rPr>
        <w:t>Interest or penalty may be refunded only when it has been erroneously paid or overpaid. Interest or penalty erroneously collected in excess of the amount due may be credited or refunded to the employing unit or other person(s) who paid such interest or penalty subject to the following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23.64(2)</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that a claim for refund or credit is allowable in accordance with the Iowa Code and these rules, it shall make necessary adjustments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of the overpayment is first applied against any unpaid liability then due from or accrued against the employing unit.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remainder of any such overpayment will be refunded to the employing unit or other person(s) by whom it was paid, or its or their successor, administrators or executors.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8">
        <w:r>
          <w:rPr>
            <w:rStyle w:val="Hyperlink"/>
            <w:rFonts w:ascii="Times New Roman" w:hAnsi="Times New Roman"/>
            <w:b w:val="false"/>
            <w:i w:val="false"/>
            <w:color w:val="000000"/>
            <w:sz w:val="22"/>
          </w:rPr>
          <w:t>96.14(2)</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871—23.65</w:t>
      </w:r>
      <w:r>
        <w:rPr>
          <w:rFonts w:ascii="Times New Roman" w:hAnsi="Times New Roman"/>
          <w:b/>
          <w:i w:val="false"/>
          <w:color w:val="000000"/>
          <w:sz w:val="22"/>
        </w:rPr>
        <w:t xml:space="preserve">(96) </w:t>
      </w:r>
      <w:r>
        <w:rPr>
          <w:rFonts w:ascii="Times New Roman" w:hAnsi="Times New Roman"/>
          <w:b/>
          <w:i w:val="false"/>
          <w:color w:val="000000"/>
          <w:sz w:val="22"/>
        </w:rPr>
        <w:t xml:space="preserve">Liens for unpaid contributions, interest, and 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23.65(1)</w:t>
      </w:r>
      <w:r>
        <w:rPr>
          <w:rFonts w:ascii="Times New Roman" w:hAnsi="Times New Roman"/>
          <w:b w:val="false"/>
          <w:i w:val="false"/>
          <w:color w:val="000000"/>
          <w:sz w:val="22"/>
        </w:rPr>
        <w:t> </w:t>
      </w:r>
      <w:r>
        <w:rPr>
          <w:rFonts w:ascii="Times New Roman" w:hAnsi="Times New Roman"/>
          <w:b w:val="false"/>
          <w:i w:val="false"/>
          <w:color w:val="000000"/>
          <w:sz w:val="22"/>
        </w:rPr>
        <w:t>Filing of liens and notice of jeopardy assessments.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wages are filed by an employer for the purpose of determining the amount of contribution due, or an assessment of contribution due, and the employer fails to pay any part of the contributions, interest and penalties due, a Notice of Assessment and Lien will be issued to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30 days after a Notice of Assessment and Lien or a Notice of Jeopardy Assessment, has been issued (subrule </w:t>
      </w:r>
      <w:r>
        <w:rPr>
          <w:rFonts w:ascii="Times New Roman" w:hAnsi="Times New Roman"/>
          <w:b w:val="false"/>
          <w:i w:val="false"/>
          <w:color w:val="000000"/>
          <w:sz w:val="22"/>
        </w:rPr>
        <w:t>23.59(2)</w:t>
      </w:r>
      <w:r>
        <w:rPr>
          <w:rFonts w:ascii="Times New Roman" w:hAnsi="Times New Roman"/>
          <w:b w:val="false"/>
          <w:i w:val="false"/>
          <w:color w:val="000000"/>
          <w:sz w:val="22"/>
        </w:rPr>
        <w:t>) and the employer has failed to make payment in full of the amounts that were assessed, the department may file a lien with the county recorder of the county in which the employer has its principal place of business or with the county recorder of any county in which the employer has real or personal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lien, known as a Notice of Lien, shall state the date of assessment; the employer’s name, address and account number; and the amount due. The recorder shall record the Notice of Lien as provided in Iowa Code section </w:t>
      </w:r>
      <w:hyperlink r:id="rId139">
        <w:r>
          <w:rPr>
            <w:rStyle w:val="Hyperlink"/>
            <w:rFonts w:ascii="Times New Roman" w:hAnsi="Times New Roman"/>
            <w:b w:val="false"/>
            <w:i w:val="false"/>
            <w:color w:val="000000"/>
            <w:sz w:val="22"/>
          </w:rPr>
          <w:t>96.14(3)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23.65(2)</w:t>
      </w:r>
      <w:r>
        <w:rPr>
          <w:rFonts w:ascii="Times New Roman" w:hAnsi="Times New Roman"/>
          <w:b w:val="false"/>
          <w:i w:val="false"/>
          <w:color w:val="000000"/>
          <w:sz w:val="22"/>
        </w:rPr>
        <w:t> </w:t>
      </w:r>
      <w:r>
        <w:rPr>
          <w:rFonts w:ascii="Times New Roman" w:hAnsi="Times New Roman"/>
          <w:b w:val="false"/>
          <w:i w:val="false"/>
          <w:color w:val="000000"/>
          <w:sz w:val="22"/>
        </w:rPr>
        <w:t>When the Notice of Lien is duly filed and recorded, the amount stated shall be a lien upon the entire interest of the employer, legal or equitable, in any real property, and upon any personal property, tangible or intangible, located in any county where the Notice of Lien or copy is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23.65(3)</w:t>
      </w:r>
      <w:r>
        <w:rPr>
          <w:rFonts w:ascii="Times New Roman" w:hAnsi="Times New Roman"/>
          <w:b w:val="false"/>
          <w:i w:val="false"/>
          <w:color w:val="000000"/>
          <w:sz w:val="22"/>
        </w:rPr>
        <w:t> </w:t>
      </w:r>
      <w:r>
        <w:rPr>
          <w:rFonts w:ascii="Times New Roman" w:hAnsi="Times New Roman"/>
          <w:b w:val="false"/>
          <w:i w:val="false"/>
          <w:color w:val="000000"/>
          <w:sz w:val="22"/>
        </w:rPr>
        <w:t xml:space="preserve">As provided in Iowa Code section </w:t>
      </w:r>
      <w:hyperlink r:id="rId140">
        <w:r>
          <w:rPr>
            <w:rStyle w:val="Hyperlink"/>
            <w:rFonts w:ascii="Times New Roman" w:hAnsi="Times New Roman"/>
            <w:b w:val="false"/>
            <w:i w:val="false"/>
            <w:color w:val="000000"/>
            <w:sz w:val="22"/>
          </w:rPr>
          <w:t>96.14(3)</w:t>
        </w:r>
      </w:hyperlink>
      <w:r>
        <w:rPr>
          <w:rFonts w:ascii="Times New Roman" w:hAnsi="Times New Roman"/>
          <w:b w:val="false"/>
          <w:i w:val="false"/>
          <w:color w:val="000000"/>
          <w:sz w:val="22"/>
        </w:rPr>
        <w:t>, the lien shall attach as of the date the assessment is issued to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23.65(4)</w:t>
      </w:r>
      <w:r>
        <w:rPr>
          <w:rFonts w:ascii="Times New Roman" w:hAnsi="Times New Roman"/>
          <w:b w:val="false"/>
          <w:i w:val="false"/>
          <w:color w:val="000000"/>
          <w:sz w:val="22"/>
        </w:rPr>
        <w:t> </w:t>
      </w:r>
      <w:r>
        <w:rPr>
          <w:rFonts w:ascii="Times New Roman" w:hAnsi="Times New Roman"/>
          <w:b w:val="false"/>
          <w:i w:val="false"/>
          <w:color w:val="000000"/>
          <w:sz w:val="22"/>
        </w:rPr>
        <w:t>The transfer, through sale, exchange, or other method, of a major portion of the assets of a delinquent employer shall not defeat or impair the lien in favor of the department, and the person acquiring such assets shall be held liable for payment of all delinquent contributions, interest, and penalties due from the delinquent employer. The department shall be made a party to any foreclosure action involving any real or personal property against which the department has or may claim a lien.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23.65(5)</w:t>
      </w:r>
      <w:r>
        <w:rPr>
          <w:rFonts w:ascii="Times New Roman" w:hAnsi="Times New Roman"/>
          <w:b w:val="false"/>
          <w:i w:val="false"/>
          <w:color w:val="000000"/>
          <w:sz w:val="22"/>
        </w:rPr>
        <w:t> </w:t>
      </w:r>
      <w:r>
        <w:rPr>
          <w:rFonts w:ascii="Times New Roman" w:hAnsi="Times New Roman"/>
          <w:b w:val="false"/>
          <w:i w:val="false"/>
          <w:color w:val="000000"/>
          <w:sz w:val="22"/>
        </w:rPr>
        <w:t xml:space="preserve">Liens against out-of-state employers and resident employers who remove themselves from the state of Iowa may be obtained in accordance with Iowa Code section </w:t>
      </w:r>
      <w:hyperlink r:id="rId141">
        <w:r>
          <w:rPr>
            <w:rStyle w:val="Hyperlink"/>
            <w:rFonts w:ascii="Times New Roman" w:hAnsi="Times New Roman"/>
            <w:b w:val="false"/>
            <w:i w:val="false"/>
            <w:color w:val="000000"/>
            <w:sz w:val="22"/>
          </w:rPr>
          <w:t>96.14(6)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23.65(6)</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at its discretion and in accordance with Iowa Code section </w:t>
      </w:r>
      <w:hyperlink r:id="rId142">
        <w:r>
          <w:rPr>
            <w:rStyle w:val="Hyperlink"/>
            <w:rFonts w:ascii="Times New Roman" w:hAnsi="Times New Roman"/>
            <w:b w:val="false"/>
            <w:i w:val="false"/>
            <w:color w:val="000000"/>
            <w:sz w:val="22"/>
          </w:rPr>
          <w:t>96.14(3)</w:t>
        </w:r>
      </w:hyperlink>
      <w:r>
        <w:rPr>
          <w:rFonts w:ascii="Times New Roman" w:hAnsi="Times New Roman"/>
          <w:b w:val="false"/>
          <w:i w:val="false"/>
          <w:color w:val="000000"/>
          <w:sz w:val="22"/>
        </w:rPr>
        <w:t>, make an assessment and file a lien in the recorder’s office in the county or state where the employer resides. Liens shall be recorded in accordance with the law governing liens in the state where filed, and the costs shall be borne by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23.65(7)</w:t>
      </w:r>
      <w:r>
        <w:rPr>
          <w:rFonts w:ascii="Times New Roman" w:hAnsi="Times New Roman"/>
          <w:b w:val="false"/>
          <w:i w:val="false"/>
          <w:color w:val="000000"/>
          <w:sz w:val="22"/>
        </w:rPr>
        <w:t> </w:t>
      </w:r>
      <w:r>
        <w:rPr>
          <w:rFonts w:ascii="Times New Roman" w:hAnsi="Times New Roman"/>
          <w:b w:val="false"/>
          <w:i w:val="false"/>
          <w:color w:val="000000"/>
          <w:sz w:val="22"/>
        </w:rPr>
        <w:t>No employment security lien(s) shall be released without payment of the contributions secured except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It is shown to the department’s satisfaction that the lien(s) was filed in error. If this is shown, the lien shall be at the expense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Release of the lien(s) is ordered by a judge having jurisdiction over same.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release is necessary to facilitate payment to the department from proceeds of sale in an equity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foreclosure action has been initiated by a secured creditor and it is demonstrated to the department’s satisfaction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lien of the secured creditor is properly perfected and is senior to the employment security lien.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property, both real and personal, does not exceed in value the amount of the secured lien on which the foreclosure is taken.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23.65(8)</w:t>
      </w:r>
      <w:r>
        <w:rPr>
          <w:rFonts w:ascii="Times New Roman" w:hAnsi="Times New Roman"/>
          <w:b w:val="false"/>
          <w:i w:val="false"/>
          <w:color w:val="000000"/>
          <w:sz w:val="22"/>
        </w:rPr>
        <w:t> </w:t>
      </w:r>
      <w:r>
        <w:rPr>
          <w:rFonts w:ascii="Times New Roman" w:hAnsi="Times New Roman"/>
          <w:b w:val="false"/>
          <w:i w:val="false"/>
          <w:color w:val="000000"/>
          <w:sz w:val="22"/>
        </w:rPr>
        <w:t>In such cases, the department may release its lien(s) but such release shall be only in respect to the property foreclosed upon by the secured creditor.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23.65(9)</w:t>
      </w:r>
      <w:r>
        <w:rPr>
          <w:rFonts w:ascii="Times New Roman" w:hAnsi="Times New Roman"/>
          <w:b w:val="false"/>
          <w:i w:val="false"/>
          <w:color w:val="000000"/>
          <w:sz w:val="22"/>
        </w:rPr>
        <w:t> </w:t>
      </w:r>
      <w:r>
        <w:rPr>
          <w:rFonts w:ascii="Times New Roman" w:hAnsi="Times New Roman"/>
          <w:b w:val="false"/>
          <w:i w:val="false"/>
          <w:color w:val="000000"/>
          <w:sz w:val="22"/>
        </w:rPr>
        <w:t>Interest and penalty secured by a lien may be compromised by the department at its discretion.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23.65(10)</w:t>
      </w:r>
      <w:r>
        <w:rPr>
          <w:rFonts w:ascii="Times New Roman" w:hAnsi="Times New Roman"/>
          <w:b w:val="false"/>
          <w:i w:val="false"/>
          <w:color w:val="000000"/>
          <w:sz w:val="22"/>
        </w:rPr>
        <w:t> </w:t>
      </w:r>
      <w:r>
        <w:rPr>
          <w:rFonts w:ascii="Times New Roman" w:hAnsi="Times New Roman"/>
          <w:b w:val="false"/>
          <w:i w:val="false"/>
          <w:color w:val="000000"/>
          <w:sz w:val="22"/>
        </w:rPr>
        <w:t>Upon payment of contributions, interest, penalty, and costs, the department shall execute a Satisfaction of Lien by filing it with the recorder’s office for the county where the lien was filed. A copy of this satisfaction shall be provided to the employer.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3">
        <w:r>
          <w:rPr>
            <w:rStyle w:val="Hyperlink"/>
            <w:rFonts w:ascii="Times New Roman" w:hAnsi="Times New Roman"/>
            <w:b w:val="false"/>
            <w:i w:val="false"/>
            <w:color w:val="000000"/>
            <w:sz w:val="22"/>
          </w:rPr>
          <w:t>96.14(3)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871—23.66</w:t>
      </w:r>
      <w:r>
        <w:rPr>
          <w:rFonts w:ascii="Times New Roman" w:hAnsi="Times New Roman"/>
          <w:b/>
          <w:i w:val="false"/>
          <w:color w:val="000000"/>
          <w:sz w:val="22"/>
        </w:rPr>
        <w:t xml:space="preserve">(96) </w:t>
      </w:r>
      <w:r>
        <w:rPr>
          <w:rFonts w:ascii="Times New Roman" w:hAnsi="Times New Roman"/>
          <w:b/>
          <w:i w:val="false"/>
          <w:color w:val="000000"/>
          <w:sz w:val="22"/>
        </w:rPr>
        <w:t xml:space="preserve">Jeopardy assessments.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23.66(1)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believes the collection of any contribution will be jeopardized by delay, the department may, whether or not the time otherwise prescribed by rule </w:t>
      </w:r>
      <w:hyperlink r:id="rId144">
        <w:r>
          <w:rPr>
            <w:rStyle w:val="Hyperlink"/>
            <w:rFonts w:ascii="Times New Roman" w:hAnsi="Times New Roman"/>
            <w:b w:val="false"/>
            <w:i w:val="false"/>
            <w:color w:val="000000"/>
            <w:sz w:val="22"/>
          </w:rPr>
          <w:t>871—23.8</w:t>
        </w:r>
      </w:hyperlink>
      <w:r>
        <w:rPr>
          <w:rFonts w:ascii="Times New Roman" w:hAnsi="Times New Roman"/>
          <w:b w:val="false"/>
          <w:i w:val="false"/>
          <w:color w:val="000000"/>
          <w:sz w:val="22"/>
        </w:rPr>
        <w:t>(96) for filing and paying any contribution has expired, immediately assess the contributions, together with all interest and penalty. The contributions, penalty and interest shall become immediately due and payable. The jeopardy assessment may be made by personal service upon the employer or the employer’s agent by a representative of the department or civil officer of the state. Should immediate personal service not be possible, the jeopardy assessment shall be sent by mail to the employer’s address of record and such mailing shall be a satisfactory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23.66(2)</w:t>
      </w:r>
      <w:r>
        <w:rPr>
          <w:rFonts w:ascii="Times New Roman" w:hAnsi="Times New Roman"/>
          <w:b w:val="false"/>
          <w:i w:val="false"/>
          <w:color w:val="000000"/>
          <w:sz w:val="22"/>
        </w:rPr>
        <w:t> </w:t>
      </w:r>
      <w:r>
        <w:rPr>
          <w:rFonts w:ascii="Times New Roman" w:hAnsi="Times New Roman"/>
          <w:b w:val="false"/>
          <w:i w:val="false"/>
          <w:color w:val="000000"/>
          <w:sz w:val="22"/>
        </w:rPr>
        <w:t>If, after a jeopardy assessment has been served, the amount assessed remains unpaid and no appeal has been filed by the employer, a notice of lien shall be recorded in the recorder’s office for the county or counties in which the employer resides or owns property. A copy of the lien shall be mailed to the employer at the address of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23.66(3)</w:t>
      </w:r>
      <w:r>
        <w:rPr>
          <w:rFonts w:ascii="Times New Roman" w:hAnsi="Times New Roman"/>
          <w:b w:val="false"/>
          <w:i w:val="false"/>
          <w:color w:val="000000"/>
          <w:sz w:val="22"/>
        </w:rPr>
        <w:t> </w:t>
      </w:r>
      <w:r>
        <w:rPr>
          <w:rFonts w:ascii="Times New Roman" w:hAnsi="Times New Roman"/>
          <w:b w:val="false"/>
          <w:i w:val="false"/>
          <w:color w:val="000000"/>
          <w:sz w:val="22"/>
        </w:rPr>
        <w:t xml:space="preserve">If, at the time of service of a jeopardy assessment, the employer protests or disputes the correctness of the assessment, the employer may furnish to the department and the department may accept a bond in an amount the department deems necessary but not to exceed double the amount of contributions due, provided the department is satisfied as to the security of the bond. So long as the bond remains in force and the assessment remains in dispute, the department shall not issue a distress warrant. If, after final adjudication of the jeopardy assessment, the employer fails to pay the assessed amount in full, the bond shall be forfeited to the extent necessary to satisfy the jeopardy assessment plus any accrued interest. Any overage shall be refunded to the employer by warrant or credit. If the bond is insufficient to pay the jeopardy assessment in full, the department may issue a distress warrant as provided in rule </w:t>
      </w:r>
      <w:hyperlink r:id="rId145">
        <w:r>
          <w:rPr>
            <w:rStyle w:val="Hyperlink"/>
            <w:rFonts w:ascii="Times New Roman" w:hAnsi="Times New Roman"/>
            <w:b w:val="false"/>
            <w:i w:val="false"/>
            <w:color w:val="000000"/>
            <w:sz w:val="22"/>
          </w:rPr>
          <w:t>871—23.67</w:t>
        </w:r>
      </w:hyperlink>
      <w:r>
        <w:rPr>
          <w:rFonts w:ascii="Times New Roman" w:hAnsi="Times New Roman"/>
          <w:b w:val="false"/>
          <w:i w:val="false"/>
          <w:color w:val="000000"/>
          <w:sz w:val="22"/>
        </w:rPr>
        <w:t>(96).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23.66(4)</w:t>
      </w:r>
      <w:r>
        <w:rPr>
          <w:rFonts w:ascii="Times New Roman" w:hAnsi="Times New Roman"/>
          <w:b w:val="false"/>
          <w:i w:val="false"/>
          <w:color w:val="000000"/>
          <w:sz w:val="22"/>
        </w:rPr>
        <w:t> </w:t>
      </w:r>
      <w:r>
        <w:rPr>
          <w:rFonts w:ascii="Times New Roman" w:hAnsi="Times New Roman"/>
          <w:b w:val="false"/>
          <w:i w:val="false"/>
          <w:color w:val="000000"/>
          <w:sz w:val="22"/>
        </w:rPr>
        <w:t>After a lien has been filed and the amount or any portion of the amount assessed and any additional accrued interest remains unpaid, the department may at any time issue a distress warrant instructing a sheriff or peace officer to levy upon and seize or attach any real or personal property of the employer in satisfaction of the amount assessed and secured by the lien.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6">
        <w:r>
          <w:rPr>
            <w:rStyle w:val="Hyperlink"/>
            <w:rFonts w:ascii="Times New Roman" w:hAnsi="Times New Roman"/>
            <w:b w:val="false"/>
            <w:i w:val="false"/>
            <w:color w:val="000000"/>
            <w:sz w:val="22"/>
          </w:rPr>
          <w:t>96.7(7)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871—23.67</w:t>
      </w:r>
      <w:r>
        <w:rPr>
          <w:rFonts w:ascii="Times New Roman" w:hAnsi="Times New Roman"/>
          <w:b/>
          <w:i w:val="false"/>
          <w:color w:val="000000"/>
          <w:sz w:val="22"/>
        </w:rPr>
        <w:t xml:space="preserve">(96) </w:t>
      </w:r>
      <w:r>
        <w:rPr>
          <w:rFonts w:ascii="Times New Roman" w:hAnsi="Times New Roman"/>
          <w:b/>
          <w:i w:val="false"/>
          <w:color w:val="000000"/>
          <w:sz w:val="22"/>
        </w:rPr>
        <w:t xml:space="preserve">Distress warrants.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23.67(1)</w:t>
      </w:r>
      <w:r>
        <w:rPr>
          <w:rFonts w:ascii="Times New Roman" w:hAnsi="Times New Roman"/>
          <w:b w:val="false"/>
          <w:i w:val="false"/>
          <w:color w:val="000000"/>
          <w:sz w:val="22"/>
        </w:rPr>
        <w:t> </w:t>
      </w:r>
      <w:r>
        <w:rPr>
          <w:rFonts w:ascii="Times New Roman" w:hAnsi="Times New Roman"/>
          <w:b w:val="false"/>
          <w:i w:val="false"/>
          <w:color w:val="000000"/>
          <w:sz w:val="22"/>
        </w:rPr>
        <w:t>In addition to and as an alternative to any other remedy provided by the Iowa Code and these rules, the department may proceed to enforce its lien by issuing to the sheriff of any county or to any civil officer of the state of Iowa having proper jurisdiction a distress warrant commanding the sheriff or civil officer to levy upon and sell any real or personal property that may be found within its jurisdiction belonging to an employer who has defaulted in the payment of any sum determined by the department to be due from the employer and to pay the proceeds of the sale over to the clerk of district court in and for the county in which the property is found. All costs of the execution shall be charged to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23.67(2)</w:t>
      </w:r>
      <w:r>
        <w:rPr>
          <w:rFonts w:ascii="Times New Roman" w:hAnsi="Times New Roman"/>
          <w:b w:val="false"/>
          <w:i w:val="false"/>
          <w:color w:val="000000"/>
          <w:sz w:val="22"/>
        </w:rPr>
        <w:t> </w:t>
      </w:r>
      <w:r>
        <w:rPr>
          <w:rFonts w:ascii="Times New Roman" w:hAnsi="Times New Roman"/>
          <w:b w:val="false"/>
          <w:i w:val="false"/>
          <w:color w:val="000000"/>
          <w:sz w:val="22"/>
        </w:rPr>
        <w:t>The sale shall be held after the property has been levied upon, the period of redemption has expired, and the department has petitioned for and been granted a condemnation order in the district court in and for the county in which the property was levied upon, in accordance with the Iowa Code and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23.67(3)</w:t>
      </w:r>
      <w:r>
        <w:rPr>
          <w:rFonts w:ascii="Times New Roman" w:hAnsi="Times New Roman"/>
          <w:b w:val="false"/>
          <w:i w:val="false"/>
          <w:color w:val="000000"/>
          <w:sz w:val="22"/>
        </w:rPr>
        <w:t> </w:t>
      </w:r>
      <w:r>
        <w:rPr>
          <w:rFonts w:ascii="Times New Roman" w:hAnsi="Times New Roman"/>
          <w:b w:val="false"/>
          <w:i w:val="false"/>
          <w:color w:val="000000"/>
          <w:sz w:val="22"/>
        </w:rPr>
        <w:t>No property belonging to the employer is exempt from execution.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23.67(4)</w:t>
      </w:r>
      <w:r>
        <w:rPr>
          <w:rFonts w:ascii="Times New Roman" w:hAnsi="Times New Roman"/>
          <w:b w:val="false"/>
          <w:i w:val="false"/>
          <w:color w:val="000000"/>
          <w:sz w:val="22"/>
        </w:rPr>
        <w:t> </w:t>
      </w:r>
      <w:r>
        <w:rPr>
          <w:rFonts w:ascii="Times New Roman" w:hAnsi="Times New Roman"/>
          <w:b w:val="false"/>
          <w:i w:val="false"/>
          <w:color w:val="000000"/>
          <w:sz w:val="22"/>
        </w:rPr>
        <w:t>Whenever a warrant is returned not satisfied in full, the department may proceed to issue a new warrant in the amount remaining unsatisfied, together with any additional interest, penalties, and costs, as provided above.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7">
        <w:r>
          <w:rPr>
            <w:rStyle w:val="Hyperlink"/>
            <w:rFonts w:ascii="Times New Roman" w:hAnsi="Times New Roman"/>
            <w:b w:val="false"/>
            <w:i w:val="false"/>
            <w:color w:val="000000"/>
            <w:sz w:val="22"/>
          </w:rPr>
          <w:t>96.7(6)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871—23.68</w:t>
      </w:r>
      <w:r>
        <w:rPr>
          <w:rFonts w:ascii="Times New Roman" w:hAnsi="Times New Roman"/>
          <w:b/>
          <w:i w:val="false"/>
          <w:color w:val="000000"/>
          <w:sz w:val="22"/>
        </w:rPr>
        <w:t xml:space="preserve">(96) </w:t>
      </w:r>
      <w:r>
        <w:rPr>
          <w:rFonts w:ascii="Times New Roman" w:hAnsi="Times New Roman"/>
          <w:b/>
          <w:i w:val="false"/>
          <w:color w:val="000000"/>
          <w:sz w:val="22"/>
        </w:rPr>
        <w:t xml:space="preserve">Collection of covered unemployment compensation. </w:t>
      </w:r>
      <w:r>
        <w:rPr>
          <w:rFonts w:ascii="Times New Roman" w:hAnsi="Times New Roman"/>
          <w:b w:val="false"/>
          <w:i w:val="false"/>
          <w:color w:val="000000"/>
          <w:sz w:val="22"/>
        </w:rPr>
        <w:t xml:space="preserve">Pursuant to </w:t>
      </w:r>
      <w:r>
        <w:rPr>
          <w:rFonts w:ascii="Times New Roman" w:hAnsi="Times New Roman"/>
          <w:b w:val="false"/>
          <w:i w:val="false"/>
          <w:color w:val="000000"/>
          <w:sz w:val="22"/>
        </w:rPr>
        <w:t>26 U.S.C. 6402(f)</w:t>
      </w:r>
      <w:r>
        <w:rPr>
          <w:rFonts w:ascii="Times New Roman" w:hAnsi="Times New Roman"/>
          <w:b w:val="false"/>
          <w:i w:val="false"/>
          <w:color w:val="000000"/>
          <w:sz w:val="22"/>
        </w:rPr>
        <w:t>, the department shall utilize the Treasury Offset Program to collect covered unemployment compensation.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8">
        <w:r>
          <w:rPr>
            <w:rStyle w:val="Hyperlink"/>
            <w:rFonts w:ascii="Times New Roman" w:hAnsi="Times New Roman"/>
            <w:b w:val="false"/>
            <w:i w:val="false"/>
            <w:color w:val="000000"/>
            <w:sz w:val="22"/>
          </w:rPr>
          <w:t>96.14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871—23.69</w:t>
      </w:r>
      <w:r>
        <w:rPr>
          <w:rFonts w:ascii="Times New Roman" w:hAnsi="Times New Roman"/>
          <w:b/>
          <w:i w:val="false"/>
          <w:color w:val="000000"/>
          <w:sz w:val="22"/>
        </w:rPr>
        <w:t xml:space="preserve">(96) </w:t>
      </w:r>
      <w:r>
        <w:rPr>
          <w:rFonts w:ascii="Times New Roman" w:hAnsi="Times New Roman"/>
          <w:b/>
          <w:i w:val="false"/>
          <w:color w:val="000000"/>
          <w:sz w:val="22"/>
        </w:rPr>
        <w:t xml:space="preserve">Injunction for nonpayment or failure to provide required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23.69(1)</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or as an alternative to any other remedy provided in Iowa Code chapter </w:t>
      </w:r>
      <w:hyperlink r:id="rId149">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 xml:space="preserve"> and this rule, the department may proceed to enjoin an employer who has refused or failed to pay any contributions, interest, or penalty or who has failed to file or provide any information required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23.69(2)</w:t>
      </w:r>
      <w:r>
        <w:rPr>
          <w:rFonts w:ascii="Times New Roman" w:hAnsi="Times New Roman"/>
          <w:b w:val="false"/>
          <w:i w:val="false"/>
          <w:color w:val="000000"/>
          <w:sz w:val="22"/>
        </w:rPr>
        <w:t> </w:t>
      </w:r>
      <w:r>
        <w:rPr>
          <w:rFonts w:ascii="Times New Roman" w:hAnsi="Times New Roman"/>
          <w:b w:val="false"/>
          <w:i w:val="false"/>
          <w:color w:val="000000"/>
          <w:sz w:val="22"/>
        </w:rPr>
        <w:t>The department retains discretion as to whether or not to seek an injunction.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23.69(3)</w:t>
      </w:r>
      <w:r>
        <w:rPr>
          <w:rFonts w:ascii="Times New Roman" w:hAnsi="Times New Roman"/>
          <w:b w:val="false"/>
          <w:i w:val="false"/>
          <w:color w:val="000000"/>
          <w:sz w:val="22"/>
        </w:rPr>
        <w:t> </w:t>
      </w:r>
      <w:r>
        <w:rPr>
          <w:rFonts w:ascii="Times New Roman" w:hAnsi="Times New Roman"/>
          <w:b w:val="false"/>
          <w:i w:val="false"/>
          <w:color w:val="000000"/>
          <w:sz w:val="22"/>
        </w:rPr>
        <w:t>When the department determines that an injunction should be obtained, the department will send by certified mail or by personal service to the employer at the last-known address for the employer a notice containing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That the department plans to seek an injunction against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period(s) for which there are delinquent contributions, interest, and penalty due or for which required information has not been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amount of indebtedness.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That the injunction will enjoin the employer from operating any businesses in the state of Iowa until one of the following conditions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entire indebtedness is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employer files a full and sufficient bond.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employer has entered into a court-approved plan providing for payment of the indebtedness.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Requested information has been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employer has ten days in which to respond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23.69(4)</w:t>
      </w:r>
      <w:r>
        <w:rPr>
          <w:rFonts w:ascii="Times New Roman" w:hAnsi="Times New Roman"/>
          <w:b w:val="false"/>
          <w:i w:val="false"/>
          <w:color w:val="000000"/>
          <w:sz w:val="22"/>
        </w:rPr>
        <w:t> </w:t>
      </w:r>
      <w:r>
        <w:rPr>
          <w:rFonts w:ascii="Times New Roman" w:hAnsi="Times New Roman"/>
          <w:b w:val="false"/>
          <w:i w:val="false"/>
          <w:color w:val="000000"/>
          <w:sz w:val="22"/>
        </w:rPr>
        <w:t>Upon expiration of the ten days following the notice, if the employer has not responded satisfactorily, the department may file with the district court for the county in which the employer resides a petition requesting a hearing and an order granting the injunction.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23.69(5)</w:t>
      </w:r>
      <w:r>
        <w:rPr>
          <w:rFonts w:ascii="Times New Roman" w:hAnsi="Times New Roman"/>
          <w:b w:val="false"/>
          <w:i w:val="false"/>
          <w:color w:val="000000"/>
          <w:sz w:val="22"/>
        </w:rPr>
        <w:t> </w:t>
      </w:r>
      <w:r>
        <w:rPr>
          <w:rFonts w:ascii="Times New Roman" w:hAnsi="Times New Roman"/>
          <w:b w:val="false"/>
          <w:i w:val="false"/>
          <w:color w:val="000000"/>
          <w:sz w:val="22"/>
        </w:rPr>
        <w:t>Upon the issuance of a court order granting the injunction, the department will proceed to periodically check to ensure that the employer is complying with the injunction order. Should the department find that the employer is not in compliance, it will ask the court for a finding of contempt and ask the court to impose appropriate punishment.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23.69(6)</w:t>
      </w:r>
      <w:r>
        <w:rPr>
          <w:rFonts w:ascii="Times New Roman" w:hAnsi="Times New Roman"/>
          <w:b w:val="false"/>
          <w:i w:val="false"/>
          <w:color w:val="000000"/>
          <w:sz w:val="22"/>
        </w:rPr>
        <w:t> </w:t>
      </w:r>
      <w:r>
        <w:rPr>
          <w:rFonts w:ascii="Times New Roman" w:hAnsi="Times New Roman"/>
          <w:b w:val="false"/>
          <w:i w:val="false"/>
          <w:color w:val="000000"/>
          <w:sz w:val="22"/>
        </w:rPr>
        <w:t>Upon payment in full of the delinquent contributions, interest, and penalty and the filing of all delinquent wage detail, the department shall have the injunction dissolved.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23.69(7)</w:t>
      </w:r>
      <w:r>
        <w:rPr>
          <w:rFonts w:ascii="Times New Roman" w:hAnsi="Times New Roman"/>
          <w:b w:val="false"/>
          <w:i w:val="false"/>
          <w:color w:val="000000"/>
          <w:sz w:val="22"/>
        </w:rPr>
        <w:t> </w:t>
      </w:r>
      <w:r>
        <w:rPr>
          <w:rFonts w:ascii="Times New Roman" w:hAnsi="Times New Roman"/>
          <w:b w:val="false"/>
          <w:i w:val="false"/>
          <w:color w:val="000000"/>
          <w:sz w:val="22"/>
        </w:rPr>
        <w:t>If the employer, as the result of a court-approved payment plan, is relieved by the court of the injunction and the employer fails to perform strictly as set out in the plan, the department may, at its discretion, ask the court to reinstate the injunction upon notice and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23.69(8)</w:t>
      </w:r>
      <w:r>
        <w:rPr>
          <w:rFonts w:ascii="Times New Roman" w:hAnsi="Times New Roman"/>
          <w:b w:val="false"/>
          <w:i w:val="false"/>
          <w:color w:val="000000"/>
          <w:sz w:val="22"/>
        </w:rPr>
        <w:t> </w:t>
      </w:r>
      <w:r>
        <w:rPr>
          <w:rFonts w:ascii="Times New Roman" w:hAnsi="Times New Roman"/>
          <w:b w:val="false"/>
          <w:i w:val="false"/>
          <w:color w:val="000000"/>
          <w:sz w:val="22"/>
        </w:rPr>
        <w:t>Any costs of these actions shall be borne by the employer.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0">
        <w:r>
          <w:rPr>
            <w:rStyle w:val="Hyperlink"/>
            <w:rFonts w:ascii="Times New Roman" w:hAnsi="Times New Roman"/>
            <w:b w:val="false"/>
            <w:i w:val="false"/>
            <w:color w:val="000000"/>
            <w:sz w:val="22"/>
          </w:rPr>
          <w:t>96.14(16)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871—23.70</w:t>
      </w:r>
      <w:r>
        <w:rPr>
          <w:rFonts w:ascii="Times New Roman" w:hAnsi="Times New Roman"/>
          <w:b/>
          <w:i w:val="false"/>
          <w:color w:val="000000"/>
          <w:sz w:val="22"/>
        </w:rPr>
        <w:t xml:space="preserve">(96) </w:t>
      </w:r>
      <w:r>
        <w:rPr>
          <w:rFonts w:ascii="Times New Roman" w:hAnsi="Times New Roman"/>
          <w:b/>
          <w:i w:val="false"/>
          <w:color w:val="000000"/>
          <w:sz w:val="22"/>
        </w:rPr>
        <w:t xml:space="preserve">Nonprofit organizations.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23.70(1)</w:t>
      </w:r>
      <w:r>
        <w:rPr>
          <w:rFonts w:ascii="Times New Roman" w:hAnsi="Times New Roman"/>
          <w:b w:val="false"/>
          <w:i w:val="false"/>
          <w:color w:val="000000"/>
          <w:sz w:val="22"/>
        </w:rPr>
        <w:t> </w:t>
      </w:r>
      <w:r>
        <w:rPr>
          <w:rFonts w:ascii="Times New Roman" w:hAnsi="Times New Roman"/>
          <w:b w:val="false"/>
          <w:i w:val="false"/>
          <w:color w:val="000000"/>
          <w:sz w:val="22"/>
        </w:rPr>
        <w:t xml:space="preserve">Any nonprofit organization can be considered eligible to reimburse the Iowa unemployment compensation fund in lieu of paying contributions. Any nonprofit organization wishing to be considered as a reimbursable employer shall file as provided under Iowa Code section </w:t>
      </w:r>
      <w:hyperlink r:id="rId151">
        <w:r>
          <w:rPr>
            <w:rStyle w:val="Hyperlink"/>
            <w:rFonts w:ascii="Times New Roman" w:hAnsi="Times New Roman"/>
            <w:b w:val="false"/>
            <w:i w:val="false"/>
            <w:color w:val="000000"/>
            <w:sz w:val="22"/>
          </w:rPr>
          <w:t>96.7</w:t>
        </w:r>
      </w:hyperlink>
      <w:r>
        <w:rPr>
          <w:rFonts w:ascii="Times New Roman" w:hAnsi="Times New Roman"/>
          <w:b w:val="false"/>
          <w:i w:val="false"/>
          <w:color w:val="000000"/>
          <w:sz w:val="22"/>
        </w:rPr>
        <w:t xml:space="preserve"> the election to reimburse the fund with the department for its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23.70(2)</w:t>
      </w:r>
      <w:r>
        <w:rPr>
          <w:rFonts w:ascii="Times New Roman" w:hAnsi="Times New Roman"/>
          <w:b w:val="false"/>
          <w:i w:val="false"/>
          <w:color w:val="000000"/>
          <w:sz w:val="22"/>
        </w:rPr>
        <w:t> </w:t>
      </w:r>
      <w:r>
        <w:rPr>
          <w:rFonts w:ascii="Times New Roman" w:hAnsi="Times New Roman"/>
          <w:b w:val="false"/>
          <w:i w:val="false"/>
          <w:color w:val="000000"/>
          <w:sz w:val="22"/>
        </w:rPr>
        <w:t>The election to reimburse must be signed by an authorized official of the nonprofit organization and be accompanied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letter of intent indicating the organization’s desire to be considered for reimbursable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organization’s letter of 501(c)(3) exemption from the Internal Revenue Service. If the organization does not have a 501(c)(3) letter at the time of the filing of its election to become a reimbursable employer, it may file a written request with the department for an extension of time setting forth the reason for the request, and the department may grant an extension not to exceed 180 days. Included with this extension request should be a copy of the application for exemption, Election to Make Payments in Lieu of Contributions, or evidence that the request for 501(c)(3) exemption has been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corporate charter or other foundational documents.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23.70(3)</w:t>
      </w:r>
      <w:r>
        <w:rPr>
          <w:rFonts w:ascii="Times New Roman" w:hAnsi="Times New Roman"/>
          <w:b w:val="false"/>
          <w:i w:val="false"/>
          <w:color w:val="000000"/>
          <w:sz w:val="22"/>
        </w:rPr>
        <w:t> </w:t>
      </w:r>
      <w:r>
        <w:rPr>
          <w:rFonts w:ascii="Times New Roman" w:hAnsi="Times New Roman"/>
          <w:b w:val="false"/>
          <w:i w:val="false"/>
          <w:color w:val="000000"/>
          <w:sz w:val="22"/>
        </w:rPr>
        <w:t xml:space="preserve">All requests by nonprofit organizations wishing to be considered for reimbursable status shall be filed on Form 68-0463 and that form, along with the organization’s 501(c)(3) Internal Revenue Service letter of exemption, except as otherwise provided in subrule </w:t>
      </w:r>
      <w:r>
        <w:rPr>
          <w:rFonts w:ascii="Times New Roman" w:hAnsi="Times New Roman"/>
          <w:b w:val="false"/>
          <w:i w:val="false"/>
          <w:color w:val="000000"/>
          <w:sz w:val="22"/>
        </w:rPr>
        <w:t>23.70(2)</w:t>
      </w:r>
      <w:r>
        <w:rPr>
          <w:rFonts w:ascii="Times New Roman" w:hAnsi="Times New Roman"/>
          <w:b w:val="false"/>
          <w:i w:val="false"/>
          <w:color w:val="000000"/>
          <w:sz w:val="22"/>
        </w:rPr>
        <w:t>, shall be directed to the attention of the tax bureau. The request for reimbursable status will be examined by an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23.70(4)</w:t>
      </w:r>
      <w:r>
        <w:rPr>
          <w:rFonts w:ascii="Times New Roman" w:hAnsi="Times New Roman"/>
          <w:b w:val="false"/>
          <w:i w:val="false"/>
          <w:color w:val="000000"/>
          <w:sz w:val="22"/>
        </w:rPr>
        <w:t> </w:t>
      </w:r>
      <w:r>
        <w:rPr>
          <w:rFonts w:ascii="Times New Roman" w:hAnsi="Times New Roman"/>
          <w:b w:val="false"/>
          <w:i w:val="false"/>
          <w:color w:val="000000"/>
          <w:sz w:val="22"/>
        </w:rPr>
        <w:t>An organization not possessing a 501(c)(3) nonprofit tax exemption at the time its election is submitted shall be granted reimbursable status provided that the exemption is obtained and a copy is filed with the department within 180 days of the date the election is submitted. Should the organization fail to obtain an exemption within 180 days, the election shall be invalid and the organization required to pay contributions upon all taxable wages paid during the period covered by the invalid election at the contribution rate it would have had if the invalid election had not been made. A new election may not be made by the organization until it has obtained a 501(c)(3) nonprofit tax exemption and has filed a new election. The new election shall not be retroactive to cover the period of the invalid election. Benefits reimbursed during the invalid election shall be used to offset the contributions due, and any excess shall be refunded to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23.70(5)</w:t>
      </w:r>
      <w:r>
        <w:rPr>
          <w:rFonts w:ascii="Times New Roman" w:hAnsi="Times New Roman"/>
          <w:b w:val="false"/>
          <w:i w:val="false"/>
          <w:color w:val="000000"/>
          <w:sz w:val="22"/>
        </w:rPr>
        <w:t> </w:t>
      </w:r>
      <w:r>
        <w:rPr>
          <w:rFonts w:ascii="Times New Roman" w:hAnsi="Times New Roman"/>
          <w:b w:val="false"/>
          <w:i w:val="false"/>
          <w:color w:val="000000"/>
          <w:sz w:val="22"/>
        </w:rPr>
        <w:t>Any nonprofit organization that terminates its election to reimburse the fund shall continue to be liable to reimburse the fund for benefits that are paid based on wages earned during the effective period of the employer’s Election to Make Payments in Lieu of Contributions. All benefits charges based on wages paid after the date of the approval of the change of status to a contributory employer shall be charged to the employer’s contributory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nonprofit organization changing its tax status from reimbursable to contributory or contributory to reimbursable will be given a new employer account number. A nonprofit organization terminating its election to reimburse the fund shall be treated as a newly covered employer for the purpose of establishing a contribution rate, except as provided in paragraph </w:t>
      </w:r>
      <w:r>
        <w:rPr>
          <w:rFonts w:ascii="Times New Roman" w:hAnsi="Times New Roman"/>
          <w:b w:val="false"/>
          <w:i w:val="false"/>
          <w:color w:val="000000"/>
          <w:sz w:val="22"/>
        </w:rPr>
        <w:t>23.70(4)</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experience, while under each tax status, will not be combined for rate computation purposes unless the department finds, or has reason to believe, that the nonprofit organization changing from a reimbursable status to a contributory status is unable to reimburse the fund for benefits outstanding at the time of the change in status, plus any benefits paid after the change in status that are based on wages paid while the nonprofit organization was still in a reimbursable status. The department may then, at its own option, use the unreimbursed benefits in the computation of the nonprofit organization’s contribution rate and transfer any contributions collected, above what the nonprofit organization would have paid as a newly covered employer, from the nonprofit organization’s contributory account to the reimbursable account to apply against the unreimbursed benefits.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23.70(6)</w:t>
      </w:r>
      <w:r>
        <w:rPr>
          <w:rFonts w:ascii="Times New Roman" w:hAnsi="Times New Roman"/>
          <w:b w:val="false"/>
          <w:i w:val="false"/>
          <w:color w:val="000000"/>
          <w:sz w:val="22"/>
        </w:rPr>
        <w:t> </w:t>
      </w:r>
      <w:r>
        <w:rPr>
          <w:rFonts w:ascii="Times New Roman" w:hAnsi="Times New Roman"/>
          <w:b w:val="false"/>
          <w:i w:val="false"/>
          <w:color w:val="000000"/>
          <w:sz w:val="22"/>
        </w:rPr>
        <w:t>Any nonprofit organization that elects to change its status from contributory to reimbursable shall continue to be liable for charges on all benefits based on wages paid when the nonprofit organization was a contributory employer. These charges will be charged to the nonprofit organization’s contributory account. The experience of the contributory account will not be merged with the nonprofit organization’s reimbursable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23.70(7)</w:t>
      </w:r>
      <w:r>
        <w:rPr>
          <w:rFonts w:ascii="Times New Roman" w:hAnsi="Times New Roman"/>
          <w:b w:val="false"/>
          <w:i w:val="false"/>
          <w:color w:val="000000"/>
          <w:sz w:val="22"/>
        </w:rPr>
        <w:t> </w:t>
      </w:r>
      <w:r>
        <w:rPr>
          <w:rFonts w:ascii="Times New Roman" w:hAnsi="Times New Roman"/>
          <w:b w:val="false"/>
          <w:i w:val="false"/>
          <w:color w:val="000000"/>
          <w:sz w:val="22"/>
        </w:rPr>
        <w:t>In the event that a reimbursable nonprofit organization succeeds to a contributory employer, such successor employer shall not receive a transfer of account balance from the predecessor account. The account balance shall remain with the predecessor account and be used as an offset against any claims attributable to that account. If an employer, whether or not the employer may elect to be reimbursable, becomes a successor to a reimbursable nonprofit organization, the successor employer shall become obligated for the reimbursable nonprofit organization’s unpaid benefit charges in the event that the reimbursable nonprofit organization cannot meet this obligation. The successor employer shall also be liable to reimburse the department, whether or not the successor employer is reimbursable or is eligible to elect to become reimbursable, for benefits paid after the date of the sale or transfer that are based on wages paid by the reimbursable nonprofit organization prior to the date of the sale or transfer.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23.70(8)</w:t>
      </w:r>
      <w:r>
        <w:rPr>
          <w:rFonts w:ascii="Times New Roman" w:hAnsi="Times New Roman"/>
          <w:b w:val="false"/>
          <w:i w:val="false"/>
          <w:color w:val="000000"/>
          <w:sz w:val="22"/>
        </w:rPr>
        <w:t> </w:t>
      </w:r>
      <w:r>
        <w:rPr>
          <w:rFonts w:ascii="Times New Roman" w:hAnsi="Times New Roman"/>
          <w:b w:val="false"/>
          <w:i w:val="false"/>
          <w:color w:val="000000"/>
          <w:sz w:val="22"/>
        </w:rPr>
        <w:t>In the event a reimbursable nonprofit organization discontinues business, the reimbursable nonprofit organization will continue to be liable to reimburse the fund in an amount equivalent to the amount of regular unemployment benefits and one-half of the extended benefits paid to an individual that is attributable to wages paid by the reimbursable nonprofit organization prior to the discontinuance of business.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2">
        <w:r>
          <w:rPr>
            <w:rStyle w:val="Hyperlink"/>
            <w:rFonts w:ascii="Times New Roman" w:hAnsi="Times New Roman"/>
            <w:b w:val="false"/>
            <w:i w:val="false"/>
            <w:color w:val="000000"/>
            <w:sz w:val="22"/>
          </w:rPr>
          <w:t>96.7(9)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871—23.71</w:t>
      </w:r>
      <w:r>
        <w:rPr>
          <w:rFonts w:ascii="Times New Roman" w:hAnsi="Times New Roman"/>
          <w:b/>
          <w:i w:val="false"/>
          <w:color w:val="000000"/>
          <w:sz w:val="22"/>
        </w:rPr>
        <w:t xml:space="preserve">(96) </w:t>
      </w:r>
      <w:r>
        <w:rPr>
          <w:rFonts w:ascii="Times New Roman" w:hAnsi="Times New Roman"/>
          <w:b/>
          <w:i w:val="false"/>
          <w:color w:val="000000"/>
          <w:sz w:val="22"/>
        </w:rPr>
        <w:t xml:space="preserve">Governmental entity—definition.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23.71(1)</w:t>
      </w:r>
      <w:r>
        <w:rPr>
          <w:rFonts w:ascii="Times New Roman" w:hAnsi="Times New Roman"/>
          <w:b w:val="false"/>
          <w:i w:val="false"/>
          <w:color w:val="000000"/>
          <w:sz w:val="22"/>
        </w:rPr>
        <w:t> </w:t>
      </w:r>
      <w:r>
        <w:rPr>
          <w:rFonts w:ascii="Times New Roman" w:hAnsi="Times New Roman"/>
          <w:b w:val="false"/>
          <w:i w:val="false"/>
          <w:color w:val="000000"/>
          <w:sz w:val="22"/>
        </w:rPr>
        <w:t>The definition of a governmental entity is held to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organization or any division, department, agency, commission, or board of a state or political subdivision established by proper authorities, authorized and created under constitutional provisions or statutes, for the purpose of carrying out a portion of the function of government, including both governmental and proprietary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instrumentality is one that is organized to carry on some function or purpose of government for a state or a political subdivision. There is expressed or implied statutory or other authority creating it. It is an independent legal entity with power to hire, supervise, and discharge its own employees. Generally, it can sue or be sued in its own name, to hold, convey real and personal property and borrow money.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Political subdivisions include counties, cities, municipalities, towns, villages, and townships, as well as irrigation, flood control, sanitation, utility, reclamation, drainage, improvement, and public school districts and authorities or any combination of these and similar governmental entities within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Instrumentalities shall include departments, boards, agencies, commissions, county or municipal corporations, associations and organizations of a state or a political subdivision of the state when the instrumentality is operated by virtue of the authority, power, or powers conferred upon the instrumentality by a state or political subdivision of the state, or when the instrumentality is controlled, supervised or receives direction, expressed or implied, from a state or political subdivision of a state or such rights are vested in public authority or authorities, or the state or the political subdivision of a state has the right, expressed or implied, to control or direct the policy, operation or to influence the organizations or action of individuals, parties or interests that control those who manage or administer the affairs of such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23.71(2)</w:t>
      </w:r>
      <w:r>
        <w:rPr>
          <w:rFonts w:ascii="Times New Roman" w:hAnsi="Times New Roman"/>
          <w:b w:val="false"/>
          <w:i w:val="false"/>
          <w:color w:val="000000"/>
          <w:sz w:val="22"/>
        </w:rPr>
        <w:t> </w:t>
      </w:r>
      <w:r>
        <w:rPr>
          <w:rFonts w:ascii="Times New Roman" w:hAnsi="Times New Roman"/>
          <w:b w:val="false"/>
          <w:i w:val="false"/>
          <w:color w:val="000000"/>
          <w:sz w:val="22"/>
        </w:rPr>
        <w:t>In cases involving the status of an organization as to whether it is a state, a state instrumentality, a political subdivision of a state or a political subdivision instrumentality, the following factors may be taken into account: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 revenues are subject to control by a state, a political subdivision of a state or an instrumentality of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organization has broad powers of taxation, appropriation or authority to levy special assessments on the land located in the district that will stand as a lien upon the property assessed.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organization has been created or is existing by virtue of a state, a political subdivision of the state or instrumentality of either, which operates in the public interest, without profit to private persons, and whose purpose is presumed to be a public benefit and conducive to the public health, convenience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Whether the organization is organized or used for a governmental purpose or an aid in the function of government or it performs a governmental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there is an expressed or implied statutory or other authority necessary or existing for the creation or use of the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23.71(3)</w:t>
      </w:r>
      <w:r>
        <w:rPr>
          <w:rFonts w:ascii="Times New Roman" w:hAnsi="Times New Roman"/>
          <w:b w:val="false"/>
          <w:i w:val="false"/>
          <w:color w:val="000000"/>
          <w:sz w:val="22"/>
        </w:rPr>
        <w:t> </w:t>
      </w:r>
      <w:r>
        <w:rPr>
          <w:rFonts w:ascii="Times New Roman" w:hAnsi="Times New Roman"/>
          <w:b w:val="false"/>
          <w:i w:val="false"/>
          <w:color w:val="000000"/>
          <w:sz w:val="22"/>
        </w:rPr>
        <w:t>The term “employment” does not apply to services performed for this state, a political subdivision of this state, an Indian tribe or an instrumentality of either by an individual who is an elected official; a member of a legislative body; a member of the judiciary of a state or political subdivision; a member of the state national guard, air national guard, or armed forces reserve; an employee on a temporary-duty basis in the case of fire, storm, snow, earthquake, flood or similar emergency; or in a position designated as a major nontenured policymaking or advisory position pursuant to state law if the position does not ordinarily require duties of more than eight hours per week.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exclusion for a governmental entity or Indian tribe from coverage of unemployment of the services of an employee serving on a temporary basis in case of fire, storm, snow, earthquake, flood, or similar emergency applies only to those individuals who are hired or pressed into service to assist directly with an emergency or urgent distress associated with an emergency, including such temporary tasks as firefighting, rescue, removal of storm debris, cleaning up mud and flood debris, restoration of public facilities, snow removal and road clearance. Volunteer firefighters and police officers, and snow removal personnel, who are called to duty in emergency situations such as fires, floods, emergency snow removal or similar public emergency to perform services on a temporary basis for which they receive pay, are excluded from coverage. The exclusion does not apply to permanent employees whose usual responsibilities include emergency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provision that excludes an individual employed by a governmental entity or Indian tribe who exercises duties in a position defined in state law as a major nontenured policymaking or advisory position, or a policymaking or advisory position that ordinarily does not require duties of more than eight hours per week, covers those individuals holding positions designated by, or pursuant to, state law as a policymaking or advisory position. Political subdivisions that have authority to enact ordinances or resolutions without recourse to the state legislature but under authority of state law may also establish and define such positions. The positions may qualify for the exclusion if the political subdivision has enacted an ordinance or resolution creating or designating one of its positions as policymaking or advisory, provided power to make the ordinance or resolution is authorized or permitted by the laws of the state. If the state law or local ordinance or resolution properly designated the positions as policymaking or advisory, the exclusion is clearly applicable. Where the law or the ordinance does not clearly and specifically so categorize or label the position, other pertinent factors such as job descriptions, the qualification of individuals considered for and appointed to the position, and the responsibilities involved shall be taken into account in determining the character of the position for purposes of applying the exclusion.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“Policymaker” is defined as generally referring to the determination of the direction, emphasis and scope of action in the development of, and the administration of, governmental programs. Such responsibilities are confined to and inherent in jobs of the higher echelons of government.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“advisory position” is one that advises established governmental agencies and officers with respect to policy, program and administration without having authority to implement the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word “major” in the phrase “major nontenured policymaking or advisory position” refers to high level governmental positions usually filled by appointment by the chief executive of the political entity (governor, mayor, etc.), or a council, and that involves responsibilities affecting the entire political entity, whether it be the state, county or 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term “nontenured” is used in its usual meaning to mean that the position is not covered by merit system or civil service law or rules with respect to duration of appointment to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Service in a policymaking or advisory position where the performance of the duties ordinarily does not require more than eight hours per week is exempted. It makes no difference whether the position is tenured. If the position ordinarily requires more than eight hours per week, the exclusion does not apply. The number of hours required should be determined by reference to the law establishing the position and the actual time spent by incumbents.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elected official includes an individual appointed to serve the unexpired term of an elected position. Such an individual’s services for such period are excluded because the individual is performing excluded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official elected by a body other than the public, such as by a vote by the legislature, board of supervisors, council, school board or trustees, to perform services for a government entity, such individual is not excluded from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Services performed for the state national guard or the air national guard are excluded from coverage of the employment security law only as to the services in the individual’s “military” capacity. It does not apply to any service performed in any other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a member of the state national guard or air national guard is employed in a civilian capacity performing services for either organization as distinguished from “military” service, the civilian service would be covered as an employee of a governmental entity to the same extent as any other employee.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23.71(4)</w:t>
      </w:r>
      <w:r>
        <w:rPr>
          <w:rFonts w:ascii="Times New Roman" w:hAnsi="Times New Roman"/>
          <w:b w:val="false"/>
          <w:i w:val="false"/>
          <w:color w:val="000000"/>
          <w:sz w:val="22"/>
        </w:rPr>
        <w:t> </w:t>
      </w:r>
      <w:r>
        <w:rPr>
          <w:rFonts w:ascii="Times New Roman" w:hAnsi="Times New Roman"/>
          <w:b w:val="false"/>
          <w:i w:val="false"/>
          <w:color w:val="000000"/>
          <w:sz w:val="22"/>
        </w:rPr>
        <w:t>Exemption from “employment” for individuals performing services for a governmental entity or Indian tribe as part of an unemployment work relief or work training program. Services performed by an individual for a government entity or Indian tribe for the purpose of qualifying or repaying a welfare or relief grant will not be considered “employment” provided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major purpose of the program under which the work is performed is to relieve individuals from their unemployment or poverty.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government entity does not pay the welfare or relief grant directly to the individual but instead pays items such as rent, power bills, medical bills, etc., for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services performed by the individuals do not displace regularly employed workers of the government entity.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3">
        <w:r>
          <w:rPr>
            <w:rStyle w:val="Hyperlink"/>
            <w:rFonts w:ascii="Times New Roman" w:hAnsi="Times New Roman"/>
            <w:b w:val="false"/>
            <w:i w:val="false"/>
            <w:color w:val="000000"/>
            <w:sz w:val="22"/>
          </w:rPr>
          <w:t>96.7(8)</w:t>
        </w:r>
      </w:hyperlink>
      <w:r>
        <w:rPr>
          <w:rFonts w:ascii="Times New Roman" w:hAnsi="Times New Roman"/>
          <w:b w:val="false"/>
          <w:i w:val="false"/>
          <w:color w:val="000000"/>
          <w:sz w:val="22"/>
        </w:rPr>
        <w:t xml:space="preserve"> and </w:t>
      </w:r>
      <w:hyperlink r:id="rId154">
        <w:r>
          <w:rPr>
            <w:rStyle w:val="Hyperlink"/>
            <w:rFonts w:ascii="Times New Roman" w:hAnsi="Times New Roman"/>
            <w:b w:val="false"/>
            <w:i w:val="false"/>
            <w:color w:val="000000"/>
            <w:sz w:val="22"/>
          </w:rPr>
          <w:t>96.1A(16)</w:t>
        </w:r>
      </w:hyperlink>
      <w:r>
        <w:rPr>
          <w:rFonts w:ascii="Times New Roman" w:hAnsi="Times New Roman"/>
          <w:b w:val="false"/>
          <w:i/>
          <w:color w:val="000000"/>
          <w:sz w:val="22"/>
        </w:rPr>
        <w:t>“a”</w:t>
      </w:r>
      <w:r>
        <w:rPr>
          <w:rFonts w:ascii="Times New Roman" w:hAnsi="Times New Roman"/>
          <w:b w:val="false"/>
          <w:i w:val="false"/>
          <w:color w:val="000000"/>
          <w:sz w:val="22"/>
        </w:rPr>
        <w:t>(6).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871—23.72</w:t>
      </w:r>
      <w:r>
        <w:rPr>
          <w:rFonts w:ascii="Times New Roman" w:hAnsi="Times New Roman"/>
          <w:b/>
          <w:i w:val="false"/>
          <w:color w:val="000000"/>
          <w:sz w:val="22"/>
        </w:rPr>
        <w:t xml:space="preserve">(96) </w:t>
      </w:r>
      <w:r>
        <w:rPr>
          <w:rFonts w:ascii="Times New Roman" w:hAnsi="Times New Roman"/>
          <w:b/>
          <w:i w:val="false"/>
          <w:color w:val="000000"/>
          <w:sz w:val="22"/>
        </w:rPr>
        <w:t xml:space="preserve">Governmental entity—elective coverage and liability.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23.72(1)</w:t>
      </w:r>
      <w:r>
        <w:rPr>
          <w:rFonts w:ascii="Times New Roman" w:hAnsi="Times New Roman"/>
          <w:b w:val="false"/>
          <w:i w:val="false"/>
          <w:color w:val="000000"/>
          <w:sz w:val="22"/>
        </w:rPr>
        <w:t> </w:t>
      </w:r>
      <w:r>
        <w:rPr>
          <w:rFonts w:ascii="Times New Roman" w:hAnsi="Times New Roman"/>
          <w:b w:val="false"/>
          <w:i w:val="false"/>
          <w:color w:val="000000"/>
          <w:sz w:val="22"/>
        </w:rPr>
        <w:t>Any governmental entity may elect to be a governmental contributory employer by filing for elective coverage as a governmental contributory employer. The rules governing the selection of coverage status for governmental entities apply to Indian tribes. Any governmental entity failing to file such an election will be considered as a governmental reimbursable employer. The application must be signed by a duly constituted governmental official. The election shall be approved if the department finds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It is an application for all employees of the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is a “governmental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It sets forth the name and address of the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23.72(2)</w:t>
      </w:r>
      <w:r>
        <w:rPr>
          <w:rFonts w:ascii="Times New Roman" w:hAnsi="Times New Roman"/>
          <w:b w:val="false"/>
          <w:i w:val="false"/>
          <w:color w:val="000000"/>
          <w:sz w:val="22"/>
        </w:rPr>
        <w:t> </w:t>
      </w:r>
      <w:r>
        <w:rPr>
          <w:rFonts w:ascii="Times New Roman" w:hAnsi="Times New Roman"/>
          <w:b w:val="false"/>
          <w:i w:val="false"/>
          <w:color w:val="000000"/>
          <w:sz w:val="22"/>
        </w:rPr>
        <w:t>The effective date of an elective coverage agreement filed by a government entity is the first day of the calendar year in which the election was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23.72(3)</w:t>
      </w:r>
      <w:r>
        <w:rPr>
          <w:rFonts w:ascii="Times New Roman" w:hAnsi="Times New Roman"/>
          <w:b w:val="false"/>
          <w:i w:val="false"/>
          <w:color w:val="000000"/>
          <w:sz w:val="22"/>
        </w:rPr>
        <w:t> </w:t>
      </w:r>
      <w:r>
        <w:rPr>
          <w:rFonts w:ascii="Times New Roman" w:hAnsi="Times New Roman"/>
          <w:b w:val="false"/>
          <w:i w:val="false"/>
          <w:color w:val="000000"/>
          <w:sz w:val="22"/>
        </w:rPr>
        <w:t>An agreement for elective coverage shall be continued in effect from period to period unless a written application for termination has been filed with the department 30 days before the beginning of the taxable year for which such termination shall first be effective following the initial one-year period of coverage.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23.72(4)</w:t>
      </w:r>
      <w:r>
        <w:rPr>
          <w:rFonts w:ascii="Times New Roman" w:hAnsi="Times New Roman"/>
          <w:b w:val="false"/>
          <w:i w:val="false"/>
          <w:color w:val="000000"/>
          <w:sz w:val="22"/>
        </w:rPr>
        <w:t> </w:t>
      </w:r>
      <w:r>
        <w:rPr>
          <w:rFonts w:ascii="Times New Roman" w:hAnsi="Times New Roman"/>
          <w:b w:val="false"/>
          <w:i w:val="false"/>
          <w:color w:val="000000"/>
          <w:sz w:val="22"/>
        </w:rPr>
        <w:t>An applicant may withdraw an application for elective coverage prior to final approval of the application. The department may, upon written request of the applicant, cancel an elective coverage agreement that has been finally approved if the applicant shows that the application was submitted through justifiable mistake, or error, or was submitted by a person not having proper authorization to bind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23.72(5)</w:t>
      </w:r>
      <w:r>
        <w:rPr>
          <w:rFonts w:ascii="Times New Roman" w:hAnsi="Times New Roman"/>
          <w:b w:val="false"/>
          <w:i w:val="false"/>
          <w:color w:val="000000"/>
          <w:sz w:val="22"/>
        </w:rPr>
        <w:t> </w:t>
      </w:r>
      <w:r>
        <w:rPr>
          <w:rFonts w:ascii="Times New Roman" w:hAnsi="Times New Roman"/>
          <w:b w:val="false"/>
          <w:i w:val="false"/>
          <w:color w:val="000000"/>
          <w:sz w:val="22"/>
        </w:rPr>
        <w:t>If a governmental entity is succeeded in whole or in part by another governmental entity, the successor may elect to continue the elective coverage agreement of the predecessor or may elect to terminate the elective coverage agreement of the predecessor. If the successor governmental entity was, prior to the acquisition of the predecessor, a governmental entity under an approved elective coverage agreement, the elective coverage agreement of the predecessor shall be continued to the same extent as the elective coverage agreement of the successor. If the successor governmental entity was, prior to the acquisition of the predecessor, a governmental entity not under an approved elective coverage agreement, the successor shall meet the requirements of this rule if it elects to continue the elective coverage agreement of the predecessor.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23.72(6)</w:t>
      </w:r>
      <w:r>
        <w:rPr>
          <w:rFonts w:ascii="Times New Roman" w:hAnsi="Times New Roman"/>
          <w:b w:val="false"/>
          <w:i w:val="false"/>
          <w:color w:val="000000"/>
          <w:sz w:val="22"/>
        </w:rPr>
        <w:t> </w:t>
      </w:r>
      <w:r>
        <w:rPr>
          <w:rFonts w:ascii="Times New Roman" w:hAnsi="Times New Roman"/>
          <w:b w:val="false"/>
          <w:i w:val="false"/>
          <w:color w:val="000000"/>
          <w:sz w:val="22"/>
        </w:rPr>
        <w:t>The contribution rate of a governmental contributory employer shall be determined by the ranking of the governmental contributory employer’s percentage of excess when compared to all other governmental contributory employers’ percentage of excesses and the rate assigned to each rank as determined by the base rate of all governmental contributory employers. The base rate is determined by adding or subtracting the difference between the benefits charged and the contributions paid by governmental contributory employers since January 1, 1980 (adjusted if necessary by excess contributions from calendar years 1978 and 1979), to or from the total benefits charged to governmental contributory employers during the preceding calendar year and dividing this sum by the total taxable wages reported by governmental contributory employers during the same calendar year. The contribution rate of a governmental contributory employer shall be payable on the taxable wages paid by the governmental contributory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23.72(7)</w:t>
      </w:r>
      <w:r>
        <w:rPr>
          <w:rFonts w:ascii="Times New Roman" w:hAnsi="Times New Roman"/>
          <w:b w:val="false"/>
          <w:i w:val="false"/>
          <w:color w:val="000000"/>
          <w:sz w:val="22"/>
        </w:rPr>
        <w:t> </w:t>
      </w:r>
      <w:r>
        <w:rPr>
          <w:rFonts w:ascii="Times New Roman" w:hAnsi="Times New Roman"/>
          <w:b w:val="false"/>
          <w:i w:val="false"/>
          <w:color w:val="000000"/>
          <w:sz w:val="22"/>
        </w:rPr>
        <w:t>Liability upon the sale, transfer or discontinuance of a reimbursable governmental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governmental reimbursable employer sells or otherwise transfers its enterprise, business, or operation to a subsequent employing unit, and the subsequent employing unit is determined to be a successor employer, the successor employer shall become liable to the department for the predecessor governmental reimbursable employer’s benefit charges that are unpaid as of the date of the sale or transfer in the event that the predecessor governmental reimbursable employer cannot meet this obligation. The successor employer shall also be liable to reimburse the department, whether or not the successor employer is reimbursable or is eligible to elect to become reimbursable, for benefits paid after the date of the sale or transfer that are based on wages paid by the predecessor governmental reimbursable employer prior to the date of the sale or transfer.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reimbursable instrumentality of either a state or a political subdivision is discontinued other than by sale or transfer, the state or the political subdivision shall reimburse the department for the reimbursable instrumentality’s benefit charges that are unpaid at the time the reimbursable instrumentality was discontinued. In addition, the state or the political subdivision shall be liable to reimburse the department for benefits paid after the discontinuance of the reimbursable instrumentality that are based on wages paid by the reimbursable instrumentality prior to the discontinuance.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5">
        <w:r>
          <w:rPr>
            <w:rStyle w:val="Hyperlink"/>
            <w:rFonts w:ascii="Times New Roman" w:hAnsi="Times New Roman"/>
            <w:b w:val="false"/>
            <w:i w:val="false"/>
            <w:color w:val="000000"/>
            <w:sz w:val="22"/>
          </w:rPr>
          <w:t>96.7(8)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871—23.73</w:t>
      </w:r>
      <w:r>
        <w:rPr>
          <w:rFonts w:ascii="Times New Roman" w:hAnsi="Times New Roman"/>
          <w:b/>
          <w:i w:val="false"/>
          <w:color w:val="000000"/>
          <w:sz w:val="22"/>
        </w:rPr>
        <w:t xml:space="preserve">(96) </w:t>
      </w:r>
      <w:r>
        <w:rPr>
          <w:rFonts w:ascii="Times New Roman" w:hAnsi="Times New Roman"/>
          <w:b/>
          <w:i w:val="false"/>
          <w:color w:val="000000"/>
          <w:sz w:val="22"/>
        </w:rPr>
        <w:t xml:space="preserve">Governmental entities—delinquent accounts.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23.73(1)</w:t>
      </w:r>
      <w:r>
        <w:rPr>
          <w:rFonts w:ascii="Times New Roman" w:hAnsi="Times New Roman"/>
          <w:b w:val="false"/>
          <w:i w:val="false"/>
          <w:color w:val="000000"/>
          <w:sz w:val="22"/>
        </w:rPr>
        <w:t> </w:t>
      </w:r>
      <w:r>
        <w:rPr>
          <w:rFonts w:ascii="Times New Roman" w:hAnsi="Times New Roman"/>
          <w:b w:val="false"/>
          <w:i w:val="false"/>
          <w:color w:val="000000"/>
          <w:sz w:val="22"/>
        </w:rPr>
        <w:t>Any governmental entity that is an employer and that becomes delinquent in the payment of contributions or the reimbursement of benefits shall be assessed for the same together with any interest and penalty due thereon.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23.73(2)</w:t>
      </w:r>
      <w:r>
        <w:rPr>
          <w:rFonts w:ascii="Times New Roman" w:hAnsi="Times New Roman"/>
          <w:b w:val="false"/>
          <w:i w:val="false"/>
          <w:color w:val="000000"/>
          <w:sz w:val="22"/>
        </w:rPr>
        <w:t> </w:t>
      </w:r>
      <w:r>
        <w:rPr>
          <w:rFonts w:ascii="Times New Roman" w:hAnsi="Times New Roman"/>
          <w:b w:val="false"/>
          <w:i w:val="false"/>
          <w:color w:val="000000"/>
          <w:sz w:val="22"/>
        </w:rPr>
        <w:t>Contributions are due within 30 days of the end of the quarter for which they are incurred. Reimbursable benefit payments are due 30 days after the date of the statement.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6">
        <w:r>
          <w:rPr>
            <w:rStyle w:val="Hyperlink"/>
            <w:rFonts w:ascii="Times New Roman" w:hAnsi="Times New Roman"/>
            <w:b w:val="false"/>
            <w:i w:val="false"/>
            <w:color w:val="000000"/>
            <w:sz w:val="22"/>
          </w:rPr>
          <w:t>96.14(3)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871—23.74</w:t>
      </w:r>
      <w:r>
        <w:rPr>
          <w:rFonts w:ascii="Times New Roman" w:hAnsi="Times New Roman"/>
          <w:b w:val="false"/>
          <w:i w:val="false"/>
          <w:color w:val="000000"/>
          <w:sz w:val="22"/>
        </w:rPr>
        <w:t xml:space="preserve"> to </w:t>
      </w:r>
      <w:r>
        <w:rPr>
          <w:rFonts w:ascii="Times New Roman" w:hAnsi="Times New Roman"/>
          <w:b/>
          <w:i w:val="false"/>
          <w:color w:val="000000"/>
          <w:sz w:val="22"/>
        </w:rPr>
        <w:t>23.81</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871—23.82</w:t>
      </w:r>
      <w:r>
        <w:rPr>
          <w:rFonts w:ascii="Times New Roman" w:hAnsi="Times New Roman"/>
          <w:b/>
          <w:i w:val="false"/>
          <w:color w:val="000000"/>
          <w:sz w:val="22"/>
        </w:rPr>
        <w:t xml:space="preserve">(96) </w:t>
      </w:r>
      <w:r>
        <w:rPr>
          <w:rFonts w:ascii="Times New Roman" w:hAnsi="Times New Roman"/>
          <w:b/>
          <w:i w:val="false"/>
          <w:color w:val="000000"/>
          <w:sz w:val="22"/>
        </w:rPr>
        <w:t xml:space="preserve">Definition of construction employer.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23.82(1)</w:t>
      </w:r>
      <w:r>
        <w:rPr>
          <w:rFonts w:ascii="Times New Roman" w:hAnsi="Times New Roman"/>
          <w:b w:val="false"/>
          <w:i w:val="false"/>
          <w:color w:val="000000"/>
          <w:sz w:val="22"/>
        </w:rPr>
        <w:t> </w:t>
      </w:r>
      <w:r>
        <w:rPr>
          <w:rFonts w:ascii="Times New Roman" w:hAnsi="Times New Roman"/>
          <w:b w:val="false"/>
          <w:i w:val="false"/>
          <w:color w:val="000000"/>
          <w:sz w:val="22"/>
        </w:rPr>
        <w:t xml:space="preserve">Construction. The department will utilize the North America Industry Classification System manual (2022 edition) to determine which employers will be classified as construction. The manual is available on the Internet to view or download at </w:t>
      </w:r>
      <w:hyperlink r:id="rId157">
        <w:r>
          <w:rPr>
            <w:rStyle w:val="Hyperlink"/>
            <w:rFonts w:ascii="Times New Roman" w:hAnsi="Times New Roman"/>
            <w:b w:val="false"/>
            <w:i w:val="false"/>
            <w:color w:val="000000"/>
            <w:sz w:val="22"/>
            <w:u w:val="single"/>
          </w:rPr>
          <w:t>www.census.gov/naics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construction sector is comprised of establishments primarily engaged in the construction of buildings and other structures, heavy construction (except buildings), additions, alterations, reconstruction, installation, maintenance and repairs. Establishments engaged in demolition or wrecking of buildings and other structures, clearing of building sites, and sale of materials from demolished structures are also included. This sector also includes those establishments engaged in blasting, test drilling, landfill, leveling, earthmoving, excavating, land drainage, and other land preparation. The industries within this sector have been defined on the basis of their unique production processes. As with all industries, the production processes are distinguished by their use of specialized human resources and specialized physical capital. Construction activities are generally administered or managed at a relatively fixed place of business, but the actual construction work is performed at one or more different project sites. Employers that provide workers primarily for construction will be classified as construction employers.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This sector is divided into three subsectors of construction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Building construction and land subdivision and land development;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Heavy construction (except buildings), such as highways, power plants, and pipelines;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Construction activity by special trade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Establishments classified in Subsector 233, Building, Developing, and General Contracting, and Subsector 234, Heavy Construction, usually assume responsibility for an entire construction project and may subcontract some or all of the actual construction work. Operative builders who build on their own account for sale and land subdividers and land developers who engage in subdividing real property into lots for sale are included in Subsector 233, Building, Developing, and General Contracting. (Special trade contractors are included in Subsector 234, Heavy Construction, if they are engaged in activities primarily relating to heavy construction, such as grading for highways.) Establishments included in these subsectors operate as general contractors, design-builders, engineer-constructors, joint-venture contractors, and turnkey construction contractors. Establishments identified as construction management firms are also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Establishments classified in Subsector 235, Special Trade Contractors, are primarily engaged in specialized construction activities, such as plumbing, painting, and electrical work and work for builders and general contractors under subcontract or directly for project owners. Establishments engaged in demolition or wrecking of buildings and other structures, dismantling of machinery, excavating, shoring and underpinning, anchored earth retention activities, foundation drilling, and grading for buildings are also included in this subsector.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“Force account” construction is construction work performed by an establishment primarily engaged in some business other than construction, for its own account and use, and by employees of the establishment. This activity is not included in this industry sector unless the construction work performed is the primary activity of a separate establishment of the enterprise.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installation of prefabricated building equipment and materials, such as elevators and revolving doors, is classified in the construction sector. Installation work incidental to sales by employees of a manufacturing or retail establishment is classified as an activity of those establishments.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23.82(2)</w:t>
      </w:r>
      <w:r>
        <w:rPr>
          <w:rFonts w:ascii="Times New Roman" w:hAnsi="Times New Roman"/>
          <w:b w:val="false"/>
          <w:i w:val="false"/>
          <w:color w:val="000000"/>
          <w:sz w:val="22"/>
        </w:rPr>
        <w:t> </w:t>
      </w:r>
      <w:r>
        <w:rPr>
          <w:rFonts w:ascii="Times New Roman" w:hAnsi="Times New Roman"/>
          <w:b w:val="false"/>
          <w:i w:val="false"/>
          <w:color w:val="000000"/>
          <w:sz w:val="22"/>
        </w:rPr>
        <w:t>The term “construction”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Land subdividing and land development. </w:t>
      </w:r>
      <w:r>
        <w:rPr>
          <w:rFonts w:ascii="Times New Roman" w:hAnsi="Times New Roman"/>
          <w:b w:val="false"/>
          <w:i w:val="false"/>
          <w:color w:val="000000"/>
          <w:sz w:val="22"/>
        </w:rPr>
        <w:t>Establishments primarily engaged in subdividing real property into lots or developing lots for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Residential building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Single-family housing construction. Establishments primarily responsible for the entire construction (i.e., new work, additions, alterations, and repairs) of single-family residential housing units.</w:t>
      </w:r>
    </w:p>
    <w:p>
      <w:pPr>
        <w:spacing w:before="0" w:after="0"/>
        <w:ind w:left="120"/>
        <w:jc w:val="both"/>
      </w:pPr>
      <w:r>
        <w:rPr>
          <w:rFonts w:ascii="Times New Roman" w:hAnsi="Times New Roman"/>
          <w:b w:val="false"/>
          <w:i w:val="false"/>
          <w:color w:val="000000"/>
          <w:sz w:val="22"/>
        </w:rPr>
        <w:t>Building alterations, single-family—general contractors</w:t>
      </w:r>
    </w:p>
    <w:p>
      <w:pPr>
        <w:spacing w:before="0" w:after="0"/>
        <w:ind w:left="120"/>
        <w:jc w:val="both"/>
      </w:pPr>
      <w:r>
        <w:rPr>
          <w:rFonts w:ascii="Times New Roman" w:hAnsi="Times New Roman"/>
          <w:b w:val="false"/>
          <w:i w:val="false"/>
          <w:color w:val="000000"/>
          <w:sz w:val="22"/>
        </w:rPr>
        <w:t>Building construction, single-family—general contractors</w:t>
      </w:r>
    </w:p>
    <w:p>
      <w:pPr>
        <w:spacing w:before="0" w:after="0"/>
        <w:ind w:left="120"/>
        <w:jc w:val="both"/>
      </w:pPr>
      <w:r>
        <w:rPr>
          <w:rFonts w:ascii="Times New Roman" w:hAnsi="Times New Roman"/>
          <w:b w:val="false"/>
          <w:i w:val="false"/>
          <w:color w:val="000000"/>
          <w:sz w:val="22"/>
        </w:rPr>
        <w:t>Custom builders, single-family houses—general contractors</w:t>
      </w:r>
    </w:p>
    <w:p>
      <w:pPr>
        <w:spacing w:before="0" w:after="0"/>
        <w:ind w:left="120"/>
        <w:jc w:val="both"/>
      </w:pPr>
      <w:r>
        <w:rPr>
          <w:rFonts w:ascii="Times New Roman" w:hAnsi="Times New Roman"/>
          <w:b w:val="false"/>
          <w:i w:val="false"/>
          <w:color w:val="000000"/>
          <w:sz w:val="22"/>
        </w:rPr>
        <w:t>Designing and erecting, combined: single-family houses—general contractors</w:t>
      </w:r>
    </w:p>
    <w:p>
      <w:pPr>
        <w:spacing w:before="0" w:after="0"/>
        <w:ind w:left="120"/>
        <w:jc w:val="both"/>
      </w:pPr>
      <w:r>
        <w:rPr>
          <w:rFonts w:ascii="Times New Roman" w:hAnsi="Times New Roman"/>
          <w:b w:val="false"/>
          <w:i w:val="false"/>
          <w:color w:val="000000"/>
          <w:sz w:val="22"/>
        </w:rPr>
        <w:t>Home improvements, single-family—general contractors</w:t>
      </w:r>
    </w:p>
    <w:p>
      <w:pPr>
        <w:spacing w:before="0" w:after="0"/>
        <w:ind w:left="120"/>
        <w:jc w:val="both"/>
      </w:pPr>
      <w:r>
        <w:rPr>
          <w:rFonts w:ascii="Times New Roman" w:hAnsi="Times New Roman"/>
          <w:b w:val="false"/>
          <w:i w:val="false"/>
          <w:color w:val="000000"/>
          <w:sz w:val="22"/>
        </w:rPr>
        <w:t>House construction, single-family—general contractors</w:t>
      </w:r>
    </w:p>
    <w:p>
      <w:pPr>
        <w:spacing w:before="0" w:after="0"/>
        <w:ind w:left="120"/>
        <w:jc w:val="both"/>
      </w:pPr>
      <w:r>
        <w:rPr>
          <w:rFonts w:ascii="Times New Roman" w:hAnsi="Times New Roman"/>
          <w:b w:val="false"/>
          <w:i w:val="false"/>
          <w:color w:val="000000"/>
          <w:sz w:val="22"/>
        </w:rPr>
        <w:t>House: shell erection, single-family—general contractors</w:t>
      </w:r>
    </w:p>
    <w:p>
      <w:pPr>
        <w:spacing w:before="0" w:after="0"/>
        <w:ind w:left="120"/>
        <w:jc w:val="both"/>
      </w:pPr>
      <w:r>
        <w:rPr>
          <w:rFonts w:ascii="Times New Roman" w:hAnsi="Times New Roman"/>
          <w:b w:val="false"/>
          <w:i w:val="false"/>
          <w:color w:val="000000"/>
          <w:sz w:val="22"/>
        </w:rPr>
        <w:t>Mobile home repair, on site—general contractors</w:t>
      </w:r>
    </w:p>
    <w:p>
      <w:pPr>
        <w:spacing w:before="0" w:after="0"/>
        <w:ind w:left="120"/>
        <w:jc w:val="both"/>
      </w:pPr>
      <w:r>
        <w:rPr>
          <w:rFonts w:ascii="Times New Roman" w:hAnsi="Times New Roman"/>
          <w:b w:val="false"/>
          <w:i w:val="false"/>
          <w:color w:val="000000"/>
          <w:sz w:val="22"/>
        </w:rPr>
        <w:t>Modular housing, single-family (assembled on site)—general contractors</w:t>
      </w:r>
    </w:p>
    <w:p>
      <w:pPr>
        <w:spacing w:before="0" w:after="0"/>
        <w:ind w:left="120"/>
        <w:jc w:val="both"/>
      </w:pPr>
      <w:r>
        <w:rPr>
          <w:rFonts w:ascii="Times New Roman" w:hAnsi="Times New Roman"/>
          <w:b w:val="false"/>
          <w:i w:val="false"/>
          <w:color w:val="000000"/>
          <w:sz w:val="22"/>
        </w:rPr>
        <w:t>One-family house construction—general contractors</w:t>
      </w:r>
    </w:p>
    <w:p>
      <w:pPr>
        <w:spacing w:before="0" w:after="0"/>
        <w:ind w:left="120"/>
        <w:jc w:val="both"/>
      </w:pPr>
      <w:r>
        <w:rPr>
          <w:rFonts w:ascii="Times New Roman" w:hAnsi="Times New Roman"/>
          <w:b w:val="false"/>
          <w:i w:val="false"/>
          <w:color w:val="000000"/>
          <w:sz w:val="22"/>
        </w:rPr>
        <w:t>Prefabricated single-family houses erection—general contractors</w:t>
      </w:r>
    </w:p>
    <w:p>
      <w:pPr>
        <w:spacing w:before="0" w:after="0"/>
        <w:ind w:left="120"/>
        <w:jc w:val="both"/>
      </w:pPr>
      <w:r>
        <w:rPr>
          <w:rFonts w:ascii="Times New Roman" w:hAnsi="Times New Roman"/>
          <w:b w:val="false"/>
          <w:i w:val="false"/>
          <w:color w:val="000000"/>
          <w:sz w:val="22"/>
        </w:rPr>
        <w:t xml:space="preserve">Premanufactured housing, single-family (assembled on site)—general contractors </w:t>
      </w:r>
    </w:p>
    <w:p>
      <w:pPr>
        <w:spacing w:before="0" w:after="0"/>
        <w:ind w:left="120"/>
        <w:jc w:val="both"/>
      </w:pPr>
      <w:r>
        <w:rPr>
          <w:rFonts w:ascii="Times New Roman" w:hAnsi="Times New Roman"/>
          <w:b w:val="false"/>
          <w:i w:val="false"/>
          <w:color w:val="000000"/>
          <w:sz w:val="22"/>
        </w:rPr>
        <w:t>Remodeling buildings, single-family—general contractors</w:t>
      </w:r>
    </w:p>
    <w:p>
      <w:pPr>
        <w:spacing w:before="0" w:after="0"/>
        <w:ind w:left="120"/>
        <w:jc w:val="both"/>
      </w:pPr>
      <w:r>
        <w:rPr>
          <w:rFonts w:ascii="Times New Roman" w:hAnsi="Times New Roman"/>
          <w:b w:val="false"/>
          <w:i w:val="false"/>
          <w:color w:val="000000"/>
          <w:sz w:val="22"/>
        </w:rPr>
        <w:t>Renovating buildings, single-family—general contractors</w:t>
      </w:r>
    </w:p>
    <w:p>
      <w:pPr>
        <w:spacing w:before="0" w:after="0"/>
        <w:ind w:left="120"/>
        <w:jc w:val="both"/>
      </w:pPr>
      <w:r>
        <w:rPr>
          <w:rFonts w:ascii="Times New Roman" w:hAnsi="Times New Roman"/>
          <w:b w:val="false"/>
          <w:i w:val="false"/>
          <w:color w:val="000000"/>
          <w:sz w:val="22"/>
        </w:rPr>
        <w:t>Repairing buildings, single-family—general contractors</w:t>
      </w:r>
    </w:p>
    <w:p>
      <w:pPr>
        <w:spacing w:before="0" w:after="0"/>
        <w:ind w:left="120"/>
        <w:jc w:val="both"/>
      </w:pPr>
      <w:r>
        <w:rPr>
          <w:rFonts w:ascii="Times New Roman" w:hAnsi="Times New Roman"/>
          <w:b w:val="false"/>
          <w:i w:val="false"/>
          <w:color w:val="000000"/>
          <w:sz w:val="22"/>
        </w:rPr>
        <w:t>Residential construction, single-family—general contractors</w:t>
      </w:r>
    </w:p>
    <w:p>
      <w:pPr>
        <w:spacing w:before="0" w:after="0"/>
        <w:ind w:left="120"/>
        <w:jc w:val="both"/>
      </w:pPr>
      <w:r>
        <w:rPr>
          <w:rFonts w:ascii="Times New Roman" w:hAnsi="Times New Roman"/>
          <w:b w:val="false"/>
          <w:i w:val="false"/>
          <w:color w:val="000000"/>
          <w:sz w:val="22"/>
        </w:rPr>
        <w:t>Row house (single-family) construction—general contractors</w:t>
      </w:r>
    </w:p>
    <w:p>
      <w:pPr>
        <w:spacing w:before="0" w:after="0"/>
        <w:ind w:left="120"/>
        <w:jc w:val="both"/>
      </w:pPr>
      <w:r>
        <w:rPr>
          <w:rFonts w:ascii="Times New Roman" w:hAnsi="Times New Roman"/>
          <w:b w:val="false"/>
          <w:i w:val="false"/>
          <w:color w:val="000000"/>
          <w:sz w:val="22"/>
        </w:rPr>
        <w:t>Town house construction—general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Multifamily housing construction. Establishments primarily responsible for the entire construction (i.e., new work, additions, alterations and repairs) of multifamily residential housing units.</w:t>
      </w:r>
    </w:p>
    <w:p>
      <w:pPr>
        <w:spacing w:before="0" w:after="0"/>
        <w:ind w:left="120"/>
        <w:jc w:val="both"/>
      </w:pPr>
      <w:r>
        <w:rPr>
          <w:rFonts w:ascii="Times New Roman" w:hAnsi="Times New Roman"/>
          <w:b w:val="false"/>
          <w:i w:val="false"/>
          <w:color w:val="000000"/>
          <w:sz w:val="22"/>
        </w:rPr>
        <w:t>Apartment building construction—general contractors</w:t>
      </w:r>
    </w:p>
    <w:p>
      <w:pPr>
        <w:spacing w:before="0" w:after="0"/>
        <w:ind w:left="120"/>
        <w:jc w:val="both"/>
      </w:pPr>
      <w:r>
        <w:rPr>
          <w:rFonts w:ascii="Times New Roman" w:hAnsi="Times New Roman"/>
          <w:b w:val="false"/>
          <w:i w:val="false"/>
          <w:color w:val="000000"/>
          <w:sz w:val="22"/>
        </w:rPr>
        <w:t>Building alterations, residential: except single-family—general contractors</w:t>
      </w:r>
    </w:p>
    <w:p>
      <w:pPr>
        <w:spacing w:before="0" w:after="0"/>
        <w:ind w:left="120"/>
        <w:jc w:val="both"/>
      </w:pPr>
      <w:r>
        <w:rPr>
          <w:rFonts w:ascii="Times New Roman" w:hAnsi="Times New Roman"/>
          <w:b w:val="false"/>
          <w:i w:val="false"/>
          <w:color w:val="000000"/>
          <w:sz w:val="22"/>
        </w:rPr>
        <w:t>Building construction, residential: except single-family—general contractors</w:t>
      </w:r>
    </w:p>
    <w:p>
      <w:pPr>
        <w:spacing w:before="0" w:after="0"/>
        <w:ind w:left="120"/>
        <w:jc w:val="both"/>
      </w:pPr>
      <w:r>
        <w:rPr>
          <w:rFonts w:ascii="Times New Roman" w:hAnsi="Times New Roman"/>
          <w:b w:val="false"/>
          <w:i w:val="false"/>
          <w:color w:val="000000"/>
          <w:sz w:val="22"/>
        </w:rPr>
        <w:t>Custom builders, residential: except single-family—general contractors</w:t>
      </w:r>
    </w:p>
    <w:p>
      <w:pPr>
        <w:spacing w:before="0" w:after="0"/>
        <w:ind w:left="120"/>
        <w:jc w:val="both"/>
      </w:pPr>
      <w:r>
        <w:rPr>
          <w:rFonts w:ascii="Times New Roman" w:hAnsi="Times New Roman"/>
          <w:b w:val="false"/>
          <w:i w:val="false"/>
          <w:color w:val="000000"/>
          <w:sz w:val="22"/>
        </w:rPr>
        <w:t>Designing and erecting, combined: residential, except single-family—general contractors</w:t>
      </w:r>
    </w:p>
    <w:p>
      <w:pPr>
        <w:spacing w:before="0" w:after="0"/>
        <w:ind w:left="120"/>
        <w:jc w:val="both"/>
      </w:pPr>
      <w:r>
        <w:rPr>
          <w:rFonts w:ascii="Times New Roman" w:hAnsi="Times New Roman"/>
          <w:b w:val="false"/>
          <w:i w:val="false"/>
          <w:color w:val="000000"/>
          <w:sz w:val="22"/>
        </w:rPr>
        <w:t>Dormitory construction—general contractors</w:t>
      </w:r>
    </w:p>
    <w:p>
      <w:pPr>
        <w:spacing w:before="0" w:after="0"/>
        <w:ind w:left="120"/>
        <w:jc w:val="both"/>
      </w:pPr>
      <w:r>
        <w:rPr>
          <w:rFonts w:ascii="Times New Roman" w:hAnsi="Times New Roman"/>
          <w:b w:val="false"/>
          <w:i w:val="false"/>
          <w:color w:val="000000"/>
          <w:sz w:val="22"/>
        </w:rPr>
        <w:t>Home improvements, residential: except single-family—general contractors</w:t>
      </w:r>
    </w:p>
    <w:p>
      <w:pPr>
        <w:spacing w:before="0" w:after="0"/>
        <w:ind w:left="120"/>
        <w:jc w:val="both"/>
      </w:pPr>
      <w:r>
        <w:rPr>
          <w:rFonts w:ascii="Times New Roman" w:hAnsi="Times New Roman"/>
          <w:b w:val="false"/>
          <w:i w:val="false"/>
          <w:color w:val="000000"/>
          <w:sz w:val="22"/>
        </w:rPr>
        <w:t>Prefabricated building erection, residential: except single-family—general contractors</w:t>
      </w:r>
    </w:p>
    <w:p>
      <w:pPr>
        <w:spacing w:before="0" w:after="0"/>
        <w:ind w:left="120"/>
        <w:jc w:val="both"/>
      </w:pPr>
      <w:r>
        <w:rPr>
          <w:rFonts w:ascii="Times New Roman" w:hAnsi="Times New Roman"/>
          <w:b w:val="false"/>
          <w:i w:val="false"/>
          <w:color w:val="000000"/>
          <w:sz w:val="22"/>
        </w:rPr>
        <w:t>Remodeling buildings, residential: except single-family—general contractors</w:t>
      </w:r>
    </w:p>
    <w:p>
      <w:pPr>
        <w:spacing w:before="0" w:after="0"/>
        <w:ind w:left="120"/>
        <w:jc w:val="both"/>
      </w:pPr>
      <w:r>
        <w:rPr>
          <w:rFonts w:ascii="Times New Roman" w:hAnsi="Times New Roman"/>
          <w:b w:val="false"/>
          <w:i w:val="false"/>
          <w:color w:val="000000"/>
          <w:sz w:val="22"/>
        </w:rPr>
        <w:t>Renovating buildings, residential: except single-family—general contractors</w:t>
      </w:r>
    </w:p>
    <w:p>
      <w:pPr>
        <w:spacing w:before="0" w:after="0"/>
        <w:ind w:left="120"/>
        <w:jc w:val="both"/>
      </w:pPr>
      <w:r>
        <w:rPr>
          <w:rFonts w:ascii="Times New Roman" w:hAnsi="Times New Roman"/>
          <w:b w:val="false"/>
          <w:i w:val="false"/>
          <w:color w:val="000000"/>
          <w:sz w:val="22"/>
        </w:rPr>
        <w:t>Repairing buildings, residential: except single-family—general contractors</w:t>
      </w:r>
    </w:p>
    <w:p>
      <w:pPr>
        <w:spacing w:before="0" w:after="0"/>
        <w:ind w:left="120"/>
        <w:jc w:val="both"/>
      </w:pPr>
      <w:r>
        <w:rPr>
          <w:rFonts w:ascii="Times New Roman" w:hAnsi="Times New Roman"/>
          <w:b w:val="false"/>
          <w:i w:val="false"/>
          <w:color w:val="000000"/>
          <w:sz w:val="22"/>
        </w:rPr>
        <w:t>Residential construction, except single-family—general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Nonresidential building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Manufacturing and industrial building construction. Establishments primarily responsible for the entire construction (i.e., new work, additions, alterations and repairs) of manufacturing and industrial buildings.</w:t>
      </w:r>
    </w:p>
    <w:p>
      <w:pPr>
        <w:spacing w:before="0" w:after="0"/>
        <w:ind w:left="120"/>
        <w:jc w:val="both"/>
      </w:pPr>
      <w:r>
        <w:rPr>
          <w:rFonts w:ascii="Times New Roman" w:hAnsi="Times New Roman"/>
          <w:b w:val="false"/>
          <w:i w:val="false"/>
          <w:color w:val="000000"/>
          <w:sz w:val="22"/>
        </w:rPr>
        <w:t>Building alterations, industrial and warehouse—general contractors</w:t>
      </w:r>
    </w:p>
    <w:p>
      <w:pPr>
        <w:spacing w:before="0" w:after="0"/>
        <w:ind w:left="120"/>
        <w:jc w:val="both"/>
      </w:pPr>
      <w:r>
        <w:rPr>
          <w:rFonts w:ascii="Times New Roman" w:hAnsi="Times New Roman"/>
          <w:b w:val="false"/>
          <w:i w:val="false"/>
          <w:color w:val="000000"/>
          <w:sz w:val="22"/>
        </w:rPr>
        <w:t>Building components manufacturing plant construction—general contractors</w:t>
      </w:r>
    </w:p>
    <w:p>
      <w:pPr>
        <w:spacing w:before="0" w:after="0"/>
        <w:ind w:left="120"/>
        <w:jc w:val="both"/>
      </w:pPr>
      <w:r>
        <w:rPr>
          <w:rFonts w:ascii="Times New Roman" w:hAnsi="Times New Roman"/>
          <w:b w:val="false"/>
          <w:i w:val="false"/>
          <w:color w:val="000000"/>
          <w:sz w:val="22"/>
        </w:rPr>
        <w:t>Building construction, industrial and warehouse—general contractors</w:t>
      </w:r>
    </w:p>
    <w:p>
      <w:pPr>
        <w:spacing w:before="0" w:after="0"/>
        <w:ind w:left="120"/>
        <w:jc w:val="both"/>
      </w:pPr>
      <w:r>
        <w:rPr>
          <w:rFonts w:ascii="Times New Roman" w:hAnsi="Times New Roman"/>
          <w:b w:val="false"/>
          <w:i w:val="false"/>
          <w:color w:val="000000"/>
          <w:sz w:val="22"/>
        </w:rPr>
        <w:t>Clean room construction—general contractors</w:t>
      </w:r>
    </w:p>
    <w:p>
      <w:pPr>
        <w:spacing w:before="0" w:after="0"/>
        <w:ind w:left="120"/>
        <w:jc w:val="both"/>
      </w:pPr>
      <w:r>
        <w:rPr>
          <w:rFonts w:ascii="Times New Roman" w:hAnsi="Times New Roman"/>
          <w:b w:val="false"/>
          <w:i w:val="false"/>
          <w:color w:val="000000"/>
          <w:sz w:val="22"/>
        </w:rPr>
        <w:t>Cold storage plant construction—general contractors</w:t>
      </w:r>
    </w:p>
    <w:p>
      <w:pPr>
        <w:spacing w:before="0" w:after="0"/>
        <w:ind w:left="120"/>
        <w:jc w:val="both"/>
      </w:pPr>
      <w:r>
        <w:rPr>
          <w:rFonts w:ascii="Times New Roman" w:hAnsi="Times New Roman"/>
          <w:b w:val="false"/>
          <w:i w:val="false"/>
          <w:color w:val="000000"/>
          <w:sz w:val="22"/>
        </w:rPr>
        <w:t>Commercial warehouse construction—general contractors</w:t>
      </w:r>
    </w:p>
    <w:p>
      <w:pPr>
        <w:spacing w:before="0" w:after="0"/>
        <w:ind w:left="120"/>
        <w:jc w:val="both"/>
      </w:pPr>
      <w:r>
        <w:rPr>
          <w:rFonts w:ascii="Times New Roman" w:hAnsi="Times New Roman"/>
          <w:b w:val="false"/>
          <w:i w:val="false"/>
          <w:color w:val="000000"/>
          <w:sz w:val="22"/>
        </w:rPr>
        <w:t>Custom builders, industrial and warehouse—general contractors</w:t>
      </w:r>
    </w:p>
    <w:p>
      <w:pPr>
        <w:spacing w:before="0" w:after="0"/>
        <w:ind w:left="120"/>
        <w:jc w:val="both"/>
      </w:pPr>
      <w:r>
        <w:rPr>
          <w:rFonts w:ascii="Times New Roman" w:hAnsi="Times New Roman"/>
          <w:b w:val="false"/>
          <w:i w:val="false"/>
          <w:color w:val="000000"/>
          <w:sz w:val="22"/>
        </w:rPr>
        <w:t>Designing and erecting, combined: industrial—general contractors</w:t>
      </w:r>
    </w:p>
    <w:p>
      <w:pPr>
        <w:spacing w:before="0" w:after="0"/>
        <w:ind w:left="120"/>
        <w:jc w:val="both"/>
      </w:pPr>
      <w:r>
        <w:rPr>
          <w:rFonts w:ascii="Times New Roman" w:hAnsi="Times New Roman"/>
          <w:b w:val="false"/>
          <w:i w:val="false"/>
          <w:color w:val="000000"/>
          <w:sz w:val="22"/>
        </w:rPr>
        <w:t>Dry cleaning plant construction—general contractors</w:t>
      </w:r>
    </w:p>
    <w:p>
      <w:pPr>
        <w:spacing w:before="0" w:after="0"/>
        <w:ind w:left="120"/>
        <w:jc w:val="both"/>
      </w:pPr>
      <w:r>
        <w:rPr>
          <w:rFonts w:ascii="Times New Roman" w:hAnsi="Times New Roman"/>
          <w:b w:val="false"/>
          <w:i w:val="false"/>
          <w:color w:val="000000"/>
          <w:sz w:val="22"/>
        </w:rPr>
        <w:t>Factory construction—general contractors</w:t>
      </w:r>
    </w:p>
    <w:p>
      <w:pPr>
        <w:spacing w:before="0" w:after="0"/>
        <w:ind w:left="120"/>
        <w:jc w:val="both"/>
      </w:pPr>
      <w:r>
        <w:rPr>
          <w:rFonts w:ascii="Times New Roman" w:hAnsi="Times New Roman"/>
          <w:b w:val="false"/>
          <w:i w:val="false"/>
          <w:color w:val="000000"/>
          <w:sz w:val="22"/>
        </w:rPr>
        <w:t>Food products manufacturing or packing plant construction—general contractors</w:t>
      </w:r>
    </w:p>
    <w:p>
      <w:pPr>
        <w:spacing w:before="0" w:after="0"/>
        <w:ind w:left="120"/>
        <w:jc w:val="both"/>
      </w:pPr>
      <w:r>
        <w:rPr>
          <w:rFonts w:ascii="Times New Roman" w:hAnsi="Times New Roman"/>
          <w:b w:val="false"/>
          <w:i w:val="false"/>
          <w:color w:val="000000"/>
          <w:sz w:val="22"/>
        </w:rPr>
        <w:t>Grain elevator construction—general contractors</w:t>
      </w:r>
    </w:p>
    <w:p>
      <w:pPr>
        <w:spacing w:before="0" w:after="0"/>
        <w:ind w:left="120"/>
        <w:jc w:val="both"/>
      </w:pPr>
      <w:r>
        <w:rPr>
          <w:rFonts w:ascii="Times New Roman" w:hAnsi="Times New Roman"/>
          <w:b w:val="false"/>
          <w:i w:val="false"/>
          <w:color w:val="000000"/>
          <w:sz w:val="22"/>
        </w:rPr>
        <w:t>Industrial building construction—general contractors</w:t>
      </w:r>
    </w:p>
    <w:p>
      <w:pPr>
        <w:spacing w:before="0" w:after="0"/>
        <w:ind w:left="120"/>
        <w:jc w:val="both"/>
      </w:pPr>
      <w:r>
        <w:rPr>
          <w:rFonts w:ascii="Times New Roman" w:hAnsi="Times New Roman"/>
          <w:b w:val="false"/>
          <w:i w:val="false"/>
          <w:color w:val="000000"/>
          <w:sz w:val="22"/>
        </w:rPr>
        <w:t>Industrial plant construction—general contractors</w:t>
      </w:r>
    </w:p>
    <w:p>
      <w:pPr>
        <w:spacing w:before="0" w:after="0"/>
        <w:ind w:left="120"/>
        <w:jc w:val="both"/>
      </w:pPr>
      <w:r>
        <w:rPr>
          <w:rFonts w:ascii="Times New Roman" w:hAnsi="Times New Roman"/>
          <w:b w:val="false"/>
          <w:i w:val="false"/>
          <w:color w:val="000000"/>
          <w:sz w:val="22"/>
        </w:rPr>
        <w:t>Paper pulp mill construction—general contractors</w:t>
      </w:r>
    </w:p>
    <w:p>
      <w:pPr>
        <w:spacing w:before="0" w:after="0"/>
        <w:ind w:left="120"/>
        <w:jc w:val="both"/>
      </w:pPr>
      <w:r>
        <w:rPr>
          <w:rFonts w:ascii="Times New Roman" w:hAnsi="Times New Roman"/>
          <w:b w:val="false"/>
          <w:i w:val="false"/>
          <w:color w:val="000000"/>
          <w:sz w:val="22"/>
        </w:rPr>
        <w:t>Pharmaceutical manufacturing plant construction—general contractors</w:t>
      </w:r>
    </w:p>
    <w:p>
      <w:pPr>
        <w:spacing w:before="0" w:after="0"/>
        <w:ind w:left="120"/>
        <w:jc w:val="both"/>
      </w:pPr>
      <w:r>
        <w:rPr>
          <w:rFonts w:ascii="Times New Roman" w:hAnsi="Times New Roman"/>
          <w:b w:val="false"/>
          <w:i w:val="false"/>
          <w:color w:val="000000"/>
          <w:sz w:val="22"/>
        </w:rPr>
        <w:t>Prefabricated building erection, industrial—general contractors</w:t>
      </w:r>
    </w:p>
    <w:p>
      <w:pPr>
        <w:spacing w:before="0" w:after="0"/>
        <w:ind w:left="120"/>
        <w:jc w:val="both"/>
      </w:pPr>
      <w:r>
        <w:rPr>
          <w:rFonts w:ascii="Times New Roman" w:hAnsi="Times New Roman"/>
          <w:b w:val="false"/>
          <w:i w:val="false"/>
          <w:color w:val="000000"/>
          <w:sz w:val="22"/>
        </w:rPr>
        <w:t>Remodeling buildings, industrial and warehouse—general contractors</w:t>
      </w:r>
    </w:p>
    <w:p>
      <w:pPr>
        <w:spacing w:before="0" w:after="0"/>
        <w:ind w:left="120"/>
        <w:jc w:val="both"/>
      </w:pPr>
      <w:r>
        <w:rPr>
          <w:rFonts w:ascii="Times New Roman" w:hAnsi="Times New Roman"/>
          <w:b w:val="false"/>
          <w:i w:val="false"/>
          <w:color w:val="000000"/>
          <w:sz w:val="22"/>
        </w:rPr>
        <w:t>Renovating buildings, industrial and warehouse—general contractors</w:t>
      </w:r>
    </w:p>
    <w:p>
      <w:pPr>
        <w:spacing w:before="0" w:after="0"/>
        <w:ind w:left="120"/>
        <w:jc w:val="both"/>
      </w:pPr>
      <w:r>
        <w:rPr>
          <w:rFonts w:ascii="Times New Roman" w:hAnsi="Times New Roman"/>
          <w:b w:val="false"/>
          <w:i w:val="false"/>
          <w:color w:val="000000"/>
          <w:sz w:val="22"/>
        </w:rPr>
        <w:t>Repairing buildings, industrial and warehouse—general contractors</w:t>
      </w:r>
    </w:p>
    <w:p>
      <w:pPr>
        <w:spacing w:before="0" w:after="0"/>
        <w:ind w:left="120"/>
        <w:jc w:val="both"/>
      </w:pPr>
      <w:r>
        <w:rPr>
          <w:rFonts w:ascii="Times New Roman" w:hAnsi="Times New Roman"/>
          <w:b w:val="false"/>
          <w:i w:val="false"/>
          <w:color w:val="000000"/>
          <w:sz w:val="22"/>
        </w:rPr>
        <w:t>Truck and automobile assembly plant construction—general contractors</w:t>
      </w:r>
    </w:p>
    <w:p>
      <w:pPr>
        <w:spacing w:before="0" w:after="0"/>
        <w:ind w:left="120"/>
        <w:jc w:val="both"/>
      </w:pPr>
      <w:r>
        <w:rPr>
          <w:rFonts w:ascii="Times New Roman" w:hAnsi="Times New Roman"/>
          <w:b w:val="false"/>
          <w:i w:val="false"/>
          <w:color w:val="000000"/>
          <w:sz w:val="22"/>
        </w:rPr>
        <w:t>Warehouse construction—general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Commercial and industrial building construction. Establishments primarily responsible for the entire construction (i.e., new work, additions, alterations and repairs) of commercial and industrial buildings.</w:t>
      </w:r>
    </w:p>
    <w:p>
      <w:pPr>
        <w:spacing w:before="0" w:after="0"/>
        <w:ind w:left="120"/>
        <w:jc w:val="both"/>
      </w:pPr>
      <w:r>
        <w:rPr>
          <w:rFonts w:ascii="Times New Roman" w:hAnsi="Times New Roman"/>
          <w:b w:val="false"/>
          <w:i w:val="false"/>
          <w:color w:val="000000"/>
          <w:sz w:val="22"/>
        </w:rPr>
        <w:t>Administration building construction—general contractors</w:t>
      </w:r>
    </w:p>
    <w:p>
      <w:pPr>
        <w:spacing w:before="0" w:after="0"/>
        <w:ind w:left="120"/>
        <w:jc w:val="both"/>
      </w:pPr>
      <w:r>
        <w:rPr>
          <w:rFonts w:ascii="Times New Roman" w:hAnsi="Times New Roman"/>
          <w:b w:val="false"/>
          <w:i w:val="false"/>
          <w:color w:val="000000"/>
          <w:sz w:val="22"/>
        </w:rPr>
        <w:t>Amusement building construction—general contractors</w:t>
      </w:r>
    </w:p>
    <w:p>
      <w:pPr>
        <w:spacing w:before="0" w:after="0"/>
        <w:ind w:left="120"/>
        <w:jc w:val="both"/>
      </w:pPr>
      <w:r>
        <w:rPr>
          <w:rFonts w:ascii="Times New Roman" w:hAnsi="Times New Roman"/>
          <w:b w:val="false"/>
          <w:i w:val="false"/>
          <w:color w:val="000000"/>
          <w:sz w:val="22"/>
        </w:rPr>
        <w:t>Auditorium construction—general contractors</w:t>
      </w:r>
    </w:p>
    <w:p>
      <w:pPr>
        <w:spacing w:before="0" w:after="0"/>
        <w:ind w:left="120"/>
        <w:jc w:val="both"/>
      </w:pPr>
      <w:r>
        <w:rPr>
          <w:rFonts w:ascii="Times New Roman" w:hAnsi="Times New Roman"/>
          <w:b w:val="false"/>
          <w:i w:val="false"/>
          <w:color w:val="000000"/>
          <w:sz w:val="22"/>
        </w:rPr>
        <w:t>Bank building construction—general contractors</w:t>
      </w:r>
    </w:p>
    <w:p>
      <w:pPr>
        <w:spacing w:before="0" w:after="0"/>
        <w:ind w:left="120"/>
        <w:jc w:val="both"/>
      </w:pPr>
      <w:r>
        <w:rPr>
          <w:rFonts w:ascii="Times New Roman" w:hAnsi="Times New Roman"/>
          <w:b w:val="false"/>
          <w:i w:val="false"/>
          <w:color w:val="000000"/>
          <w:sz w:val="22"/>
        </w:rPr>
        <w:t>Building alterations, nonresidential: except industrial and warehouses—general contractors</w:t>
      </w:r>
    </w:p>
    <w:p>
      <w:pPr>
        <w:spacing w:before="0" w:after="0"/>
        <w:ind w:left="120"/>
        <w:jc w:val="both"/>
      </w:pPr>
      <w:r>
        <w:rPr>
          <w:rFonts w:ascii="Times New Roman" w:hAnsi="Times New Roman"/>
          <w:b w:val="false"/>
          <w:i w:val="false"/>
          <w:color w:val="000000"/>
          <w:sz w:val="22"/>
        </w:rPr>
        <w:t>Building construction, nonresidential: except industrial and warehouses—general contractors</w:t>
      </w:r>
    </w:p>
    <w:p>
      <w:pPr>
        <w:spacing w:before="0" w:after="0"/>
        <w:ind w:left="120"/>
        <w:jc w:val="both"/>
      </w:pPr>
      <w:r>
        <w:rPr>
          <w:rFonts w:ascii="Times New Roman" w:hAnsi="Times New Roman"/>
          <w:b w:val="false"/>
          <w:i w:val="false"/>
          <w:color w:val="000000"/>
          <w:sz w:val="22"/>
        </w:rPr>
        <w:t>Casino construction—general contractors</w:t>
      </w:r>
    </w:p>
    <w:p>
      <w:pPr>
        <w:spacing w:before="0" w:after="0"/>
        <w:ind w:left="120"/>
        <w:jc w:val="both"/>
      </w:pPr>
      <w:r>
        <w:rPr>
          <w:rFonts w:ascii="Times New Roman" w:hAnsi="Times New Roman"/>
          <w:b w:val="false"/>
          <w:i w:val="false"/>
          <w:color w:val="000000"/>
          <w:sz w:val="22"/>
        </w:rPr>
        <w:t>Church, synagogue and related building construction—general contractors</w:t>
      </w:r>
    </w:p>
    <w:p>
      <w:pPr>
        <w:spacing w:before="0" w:after="0"/>
        <w:ind w:left="120"/>
        <w:jc w:val="both"/>
      </w:pPr>
      <w:r>
        <w:rPr>
          <w:rFonts w:ascii="Times New Roman" w:hAnsi="Times New Roman"/>
          <w:b w:val="false"/>
          <w:i w:val="false"/>
          <w:color w:val="000000"/>
          <w:sz w:val="22"/>
        </w:rPr>
        <w:t>Civic center construction—general contractors</w:t>
      </w:r>
    </w:p>
    <w:p>
      <w:pPr>
        <w:spacing w:before="0" w:after="0"/>
        <w:ind w:left="120"/>
        <w:jc w:val="both"/>
      </w:pPr>
      <w:r>
        <w:rPr>
          <w:rFonts w:ascii="Times New Roman" w:hAnsi="Times New Roman"/>
          <w:b w:val="false"/>
          <w:i w:val="false"/>
          <w:color w:val="000000"/>
          <w:sz w:val="22"/>
        </w:rPr>
        <w:t>Commercial building construction—general contractors</w:t>
      </w:r>
    </w:p>
    <w:p>
      <w:pPr>
        <w:spacing w:before="0" w:after="0"/>
        <w:ind w:left="120"/>
        <w:jc w:val="both"/>
      </w:pPr>
      <w:r>
        <w:rPr>
          <w:rFonts w:ascii="Times New Roman" w:hAnsi="Times New Roman"/>
          <w:b w:val="false"/>
          <w:i w:val="false"/>
          <w:color w:val="000000"/>
          <w:sz w:val="22"/>
        </w:rPr>
        <w:t>Custom builders, nonresidential: except industrial and warehouses—general contractors</w:t>
      </w:r>
    </w:p>
    <w:p>
      <w:pPr>
        <w:spacing w:before="0" w:after="0"/>
        <w:ind w:left="120"/>
        <w:jc w:val="both"/>
      </w:pPr>
      <w:r>
        <w:rPr>
          <w:rFonts w:ascii="Times New Roman" w:hAnsi="Times New Roman"/>
          <w:b w:val="false"/>
          <w:i w:val="false"/>
          <w:color w:val="000000"/>
          <w:sz w:val="22"/>
        </w:rPr>
        <w:t>Designing and erecting, combined: commercial—general contractors</w:t>
      </w:r>
    </w:p>
    <w:p>
      <w:pPr>
        <w:spacing w:before="0" w:after="0"/>
        <w:ind w:left="120"/>
        <w:jc w:val="both"/>
      </w:pPr>
      <w:r>
        <w:rPr>
          <w:rFonts w:ascii="Times New Roman" w:hAnsi="Times New Roman"/>
          <w:b w:val="false"/>
          <w:i w:val="false"/>
          <w:color w:val="000000"/>
          <w:sz w:val="22"/>
        </w:rPr>
        <w:t>Dome construction—general contractors</w:t>
      </w:r>
    </w:p>
    <w:p>
      <w:pPr>
        <w:spacing w:before="0" w:after="0"/>
        <w:ind w:left="120"/>
        <w:jc w:val="both"/>
      </w:pPr>
      <w:r>
        <w:rPr>
          <w:rFonts w:ascii="Times New Roman" w:hAnsi="Times New Roman"/>
          <w:b w:val="false"/>
          <w:i w:val="false"/>
          <w:color w:val="000000"/>
          <w:sz w:val="22"/>
        </w:rPr>
        <w:t>Farm building construction, except residential—general contractors</w:t>
      </w:r>
    </w:p>
    <w:p>
      <w:pPr>
        <w:spacing w:before="0" w:after="0"/>
        <w:ind w:left="120"/>
        <w:jc w:val="both"/>
      </w:pPr>
      <w:r>
        <w:rPr>
          <w:rFonts w:ascii="Times New Roman" w:hAnsi="Times New Roman"/>
          <w:b w:val="false"/>
          <w:i w:val="false"/>
          <w:color w:val="000000"/>
          <w:sz w:val="22"/>
        </w:rPr>
        <w:t>Fire station construction—general contractors</w:t>
      </w:r>
    </w:p>
    <w:p>
      <w:pPr>
        <w:spacing w:before="0" w:after="0"/>
        <w:ind w:left="120"/>
        <w:jc w:val="both"/>
      </w:pPr>
      <w:r>
        <w:rPr>
          <w:rFonts w:ascii="Times New Roman" w:hAnsi="Times New Roman"/>
          <w:b w:val="false"/>
          <w:i w:val="false"/>
          <w:color w:val="000000"/>
          <w:sz w:val="22"/>
        </w:rPr>
        <w:t>Garage construction—general contractors</w:t>
      </w:r>
    </w:p>
    <w:p>
      <w:pPr>
        <w:spacing w:before="0" w:after="0"/>
        <w:ind w:left="120"/>
        <w:jc w:val="both"/>
      </w:pPr>
      <w:r>
        <w:rPr>
          <w:rFonts w:ascii="Times New Roman" w:hAnsi="Times New Roman"/>
          <w:b w:val="false"/>
          <w:i w:val="false"/>
          <w:color w:val="000000"/>
          <w:sz w:val="22"/>
        </w:rPr>
        <w:t>Hospital construction—general contractors</w:t>
      </w:r>
    </w:p>
    <w:p>
      <w:pPr>
        <w:spacing w:before="0" w:after="0"/>
        <w:ind w:left="120"/>
        <w:jc w:val="both"/>
      </w:pPr>
      <w:r>
        <w:rPr>
          <w:rFonts w:ascii="Times New Roman" w:hAnsi="Times New Roman"/>
          <w:b w:val="false"/>
          <w:i w:val="false"/>
          <w:color w:val="000000"/>
          <w:sz w:val="22"/>
        </w:rPr>
        <w:t>Hotel construction—general contractors</w:t>
      </w:r>
    </w:p>
    <w:p>
      <w:pPr>
        <w:spacing w:before="0" w:after="0"/>
        <w:ind w:left="120"/>
        <w:jc w:val="both"/>
      </w:pPr>
      <w:r>
        <w:rPr>
          <w:rFonts w:ascii="Times New Roman" w:hAnsi="Times New Roman"/>
          <w:b w:val="false"/>
          <w:i w:val="false"/>
          <w:color w:val="000000"/>
          <w:sz w:val="22"/>
        </w:rPr>
        <w:t>Institutional building construction, nonresidential—general contractors</w:t>
      </w:r>
    </w:p>
    <w:p>
      <w:pPr>
        <w:spacing w:before="0" w:after="0"/>
        <w:ind w:left="120"/>
        <w:jc w:val="both"/>
      </w:pPr>
      <w:r>
        <w:rPr>
          <w:rFonts w:ascii="Times New Roman" w:hAnsi="Times New Roman"/>
          <w:b w:val="false"/>
          <w:i w:val="false"/>
          <w:color w:val="000000"/>
          <w:sz w:val="22"/>
        </w:rPr>
        <w:t>Mausoleum construction—general contractors</w:t>
      </w:r>
    </w:p>
    <w:p>
      <w:pPr>
        <w:spacing w:before="0" w:after="0"/>
        <w:ind w:left="120"/>
        <w:jc w:val="both"/>
      </w:pPr>
      <w:r>
        <w:rPr>
          <w:rFonts w:ascii="Times New Roman" w:hAnsi="Times New Roman"/>
          <w:b w:val="false"/>
          <w:i w:val="false"/>
          <w:color w:val="000000"/>
          <w:sz w:val="22"/>
        </w:rPr>
        <w:t>Motel construction—general contractors</w:t>
      </w:r>
    </w:p>
    <w:p>
      <w:pPr>
        <w:spacing w:before="0" w:after="0"/>
        <w:ind w:left="120"/>
        <w:jc w:val="both"/>
      </w:pPr>
      <w:r>
        <w:rPr>
          <w:rFonts w:ascii="Times New Roman" w:hAnsi="Times New Roman"/>
          <w:b w:val="false"/>
          <w:i w:val="false"/>
          <w:color w:val="000000"/>
          <w:sz w:val="22"/>
        </w:rPr>
        <w:t>Municipal building construction—general contractors</w:t>
      </w:r>
    </w:p>
    <w:p>
      <w:pPr>
        <w:spacing w:before="0" w:after="0"/>
        <w:ind w:left="120"/>
        <w:jc w:val="both"/>
      </w:pPr>
      <w:r>
        <w:rPr>
          <w:rFonts w:ascii="Times New Roman" w:hAnsi="Times New Roman"/>
          <w:b w:val="false"/>
          <w:i w:val="false"/>
          <w:color w:val="000000"/>
          <w:sz w:val="22"/>
        </w:rPr>
        <w:t>Museum construction—general contractors</w:t>
      </w:r>
    </w:p>
    <w:p>
      <w:pPr>
        <w:spacing w:before="0" w:after="0"/>
        <w:ind w:left="120"/>
        <w:jc w:val="both"/>
      </w:pPr>
      <w:r>
        <w:rPr>
          <w:rFonts w:ascii="Times New Roman" w:hAnsi="Times New Roman"/>
          <w:b w:val="false"/>
          <w:i w:val="false"/>
          <w:color w:val="000000"/>
          <w:sz w:val="22"/>
        </w:rPr>
        <w:t>Office building construction—general contractors</w:t>
      </w:r>
    </w:p>
    <w:p>
      <w:pPr>
        <w:spacing w:before="0" w:after="0"/>
        <w:ind w:left="120"/>
        <w:jc w:val="both"/>
      </w:pPr>
      <w:r>
        <w:rPr>
          <w:rFonts w:ascii="Times New Roman" w:hAnsi="Times New Roman"/>
          <w:b w:val="false"/>
          <w:i w:val="false"/>
          <w:color w:val="000000"/>
          <w:sz w:val="22"/>
        </w:rPr>
        <w:t>Passenger and freight terminal building construction—general contractors</w:t>
      </w:r>
    </w:p>
    <w:p>
      <w:pPr>
        <w:spacing w:before="0" w:after="0"/>
        <w:ind w:left="120"/>
        <w:jc w:val="both"/>
      </w:pPr>
      <w:r>
        <w:rPr>
          <w:rFonts w:ascii="Times New Roman" w:hAnsi="Times New Roman"/>
          <w:b w:val="false"/>
          <w:i w:val="false"/>
          <w:color w:val="000000"/>
          <w:sz w:val="22"/>
        </w:rPr>
        <w:t>Post office construction—general contractors</w:t>
      </w:r>
    </w:p>
    <w:p>
      <w:pPr>
        <w:spacing w:before="0" w:after="0"/>
        <w:ind w:left="120"/>
        <w:jc w:val="both"/>
      </w:pPr>
      <w:r>
        <w:rPr>
          <w:rFonts w:ascii="Times New Roman" w:hAnsi="Times New Roman"/>
          <w:b w:val="false"/>
          <w:i w:val="false"/>
          <w:color w:val="000000"/>
          <w:sz w:val="22"/>
        </w:rPr>
        <w:t>Prefabricated building erection, nonresidential: except industrial and warehouses—general contractors</w:t>
      </w:r>
    </w:p>
    <w:p>
      <w:pPr>
        <w:spacing w:before="0" w:after="0"/>
        <w:ind w:left="120"/>
        <w:jc w:val="both"/>
      </w:pPr>
      <w:r>
        <w:rPr>
          <w:rFonts w:ascii="Times New Roman" w:hAnsi="Times New Roman"/>
          <w:b w:val="false"/>
          <w:i w:val="false"/>
          <w:color w:val="000000"/>
          <w:sz w:val="22"/>
        </w:rPr>
        <w:t>Prison construction—general contractors</w:t>
      </w:r>
    </w:p>
    <w:p>
      <w:pPr>
        <w:spacing w:before="0" w:after="0"/>
        <w:ind w:left="120"/>
        <w:jc w:val="both"/>
      </w:pPr>
      <w:r>
        <w:rPr>
          <w:rFonts w:ascii="Times New Roman" w:hAnsi="Times New Roman"/>
          <w:b w:val="false"/>
          <w:i w:val="false"/>
          <w:color w:val="000000"/>
          <w:sz w:val="22"/>
        </w:rPr>
        <w:t xml:space="preserve">Remodeling buildings, nonresidential: except industrial and warehouses—general contractors </w:t>
      </w:r>
    </w:p>
    <w:p>
      <w:pPr>
        <w:spacing w:before="0" w:after="0"/>
        <w:ind w:left="120"/>
        <w:jc w:val="both"/>
      </w:pPr>
      <w:r>
        <w:rPr>
          <w:rFonts w:ascii="Times New Roman" w:hAnsi="Times New Roman"/>
          <w:b w:val="false"/>
          <w:i w:val="false"/>
          <w:color w:val="000000"/>
          <w:sz w:val="22"/>
        </w:rPr>
        <w:t>Renovating buildings, nonresidential: except industrial and warehouses—general contractors</w:t>
      </w:r>
    </w:p>
    <w:p>
      <w:pPr>
        <w:spacing w:before="0" w:after="0"/>
        <w:ind w:left="120"/>
        <w:jc w:val="both"/>
      </w:pPr>
      <w:r>
        <w:rPr>
          <w:rFonts w:ascii="Times New Roman" w:hAnsi="Times New Roman"/>
          <w:b w:val="false"/>
          <w:i w:val="false"/>
          <w:color w:val="000000"/>
          <w:sz w:val="22"/>
        </w:rPr>
        <w:t>Repairing buildings, nonresidential: except industrial and warehouses—general contractors</w:t>
      </w:r>
    </w:p>
    <w:p>
      <w:pPr>
        <w:spacing w:before="0" w:after="0"/>
        <w:ind w:left="120"/>
        <w:jc w:val="both"/>
      </w:pPr>
      <w:r>
        <w:rPr>
          <w:rFonts w:ascii="Times New Roman" w:hAnsi="Times New Roman"/>
          <w:b w:val="false"/>
          <w:i w:val="false"/>
          <w:color w:val="000000"/>
          <w:sz w:val="22"/>
        </w:rPr>
        <w:t>Restaurant construction—general contractors</w:t>
      </w:r>
    </w:p>
    <w:p>
      <w:pPr>
        <w:spacing w:before="0" w:after="0"/>
        <w:ind w:left="120"/>
        <w:jc w:val="both"/>
      </w:pPr>
      <w:r>
        <w:rPr>
          <w:rFonts w:ascii="Times New Roman" w:hAnsi="Times New Roman"/>
          <w:b w:val="false"/>
          <w:i w:val="false"/>
          <w:color w:val="000000"/>
          <w:sz w:val="22"/>
        </w:rPr>
        <w:t>School building construction—general contractors</w:t>
      </w:r>
    </w:p>
    <w:p>
      <w:pPr>
        <w:spacing w:before="0" w:after="0"/>
        <w:ind w:left="120"/>
        <w:jc w:val="both"/>
      </w:pPr>
      <w:r>
        <w:rPr>
          <w:rFonts w:ascii="Times New Roman" w:hAnsi="Times New Roman"/>
          <w:b w:val="false"/>
          <w:i w:val="false"/>
          <w:color w:val="000000"/>
          <w:sz w:val="22"/>
        </w:rPr>
        <w:t>Service station construction—general contractors</w:t>
      </w:r>
    </w:p>
    <w:p>
      <w:pPr>
        <w:spacing w:before="0" w:after="0"/>
        <w:ind w:left="120"/>
        <w:jc w:val="both"/>
      </w:pPr>
      <w:r>
        <w:rPr>
          <w:rFonts w:ascii="Times New Roman" w:hAnsi="Times New Roman"/>
          <w:b w:val="false"/>
          <w:i w:val="false"/>
          <w:color w:val="000000"/>
          <w:sz w:val="22"/>
        </w:rPr>
        <w:t>Shopping center construction—general contractors</w:t>
      </w:r>
    </w:p>
    <w:p>
      <w:pPr>
        <w:spacing w:before="0" w:after="0"/>
        <w:ind w:left="120"/>
        <w:jc w:val="both"/>
      </w:pPr>
      <w:r>
        <w:rPr>
          <w:rFonts w:ascii="Times New Roman" w:hAnsi="Times New Roman"/>
          <w:b w:val="false"/>
          <w:i w:val="false"/>
          <w:color w:val="000000"/>
          <w:sz w:val="22"/>
        </w:rPr>
        <w:t>Silo construction, agricultural—general contractors</w:t>
      </w:r>
    </w:p>
    <w:p>
      <w:pPr>
        <w:spacing w:before="0" w:after="0"/>
        <w:ind w:left="120"/>
        <w:jc w:val="both"/>
      </w:pPr>
      <w:r>
        <w:rPr>
          <w:rFonts w:ascii="Times New Roman" w:hAnsi="Times New Roman"/>
          <w:b w:val="false"/>
          <w:i w:val="false"/>
          <w:color w:val="000000"/>
          <w:sz w:val="22"/>
        </w:rPr>
        <w:t>Stadium construction—general contractors</w:t>
      </w:r>
    </w:p>
    <w:p>
      <w:pPr>
        <w:spacing w:before="0" w:after="0"/>
        <w:ind w:left="120"/>
        <w:jc w:val="both"/>
      </w:pPr>
      <w:r>
        <w:rPr>
          <w:rFonts w:ascii="Times New Roman" w:hAnsi="Times New Roman"/>
          <w:b w:val="false"/>
          <w:i w:val="false"/>
          <w:color w:val="000000"/>
          <w:sz w:val="22"/>
        </w:rPr>
        <w:t>Store construction—general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Highway, street, bridge and tunnel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Highway and street construction. Establishments primarily responsible for the entire construction (i.e., new work, reconstruction, or repairs) of highways (except elevated), streets, roads, or airport runways, and establishments identified as highway and street construction management firms, and establishments identified as special trade contractors engaged in performing subcontract work primarily related to highway and street construction.</w:t>
      </w:r>
    </w:p>
    <w:p>
      <w:pPr>
        <w:spacing w:before="0" w:after="0"/>
        <w:ind w:left="120"/>
        <w:jc w:val="both"/>
      </w:pPr>
      <w:r>
        <w:rPr>
          <w:rFonts w:ascii="Times New Roman" w:hAnsi="Times New Roman"/>
          <w:b w:val="false"/>
          <w:i w:val="false"/>
          <w:color w:val="000000"/>
          <w:sz w:val="22"/>
        </w:rPr>
        <w:t>Airport runway construction—general contractors</w:t>
      </w:r>
    </w:p>
    <w:p>
      <w:pPr>
        <w:spacing w:before="0" w:after="0"/>
        <w:ind w:left="120"/>
        <w:jc w:val="both"/>
      </w:pPr>
      <w:r>
        <w:rPr>
          <w:rFonts w:ascii="Times New Roman" w:hAnsi="Times New Roman"/>
          <w:b w:val="false"/>
          <w:i w:val="false"/>
          <w:color w:val="000000"/>
          <w:sz w:val="22"/>
        </w:rPr>
        <w:t>Alley construction—general contractors</w:t>
      </w:r>
    </w:p>
    <w:p>
      <w:pPr>
        <w:spacing w:before="0" w:after="0"/>
        <w:ind w:left="120"/>
        <w:jc w:val="both"/>
      </w:pPr>
      <w:r>
        <w:rPr>
          <w:rFonts w:ascii="Times New Roman" w:hAnsi="Times New Roman"/>
          <w:b w:val="false"/>
          <w:i w:val="false"/>
          <w:color w:val="000000"/>
          <w:sz w:val="22"/>
        </w:rPr>
        <w:t>Asphalt paving; roads, public sidewalks and streets—contractors</w:t>
      </w:r>
    </w:p>
    <w:p>
      <w:pPr>
        <w:spacing w:before="0" w:after="0"/>
        <w:ind w:left="120"/>
        <w:jc w:val="both"/>
      </w:pPr>
      <w:r>
        <w:rPr>
          <w:rFonts w:ascii="Times New Roman" w:hAnsi="Times New Roman"/>
          <w:b w:val="false"/>
          <w:i w:val="false"/>
          <w:color w:val="000000"/>
          <w:sz w:val="22"/>
        </w:rPr>
        <w:t>Concrete construction; roads, highways, public sidewalks, and streets—contractors</w:t>
      </w:r>
    </w:p>
    <w:p>
      <w:pPr>
        <w:spacing w:before="0" w:after="0"/>
        <w:ind w:left="120"/>
        <w:jc w:val="both"/>
      </w:pPr>
      <w:r>
        <w:rPr>
          <w:rFonts w:ascii="Times New Roman" w:hAnsi="Times New Roman"/>
          <w:b w:val="false"/>
          <w:i w:val="false"/>
          <w:color w:val="000000"/>
          <w:sz w:val="22"/>
        </w:rPr>
        <w:t>Grading for highways, streets and airport runways—contractors</w:t>
      </w:r>
    </w:p>
    <w:p>
      <w:pPr>
        <w:spacing w:before="0" w:after="0"/>
        <w:ind w:left="120"/>
        <w:jc w:val="both"/>
      </w:pPr>
      <w:r>
        <w:rPr>
          <w:rFonts w:ascii="Times New Roman" w:hAnsi="Times New Roman"/>
          <w:b w:val="false"/>
          <w:i w:val="false"/>
          <w:color w:val="000000"/>
          <w:sz w:val="22"/>
        </w:rPr>
        <w:t>Guardrail construction on highways—contractors</w:t>
      </w:r>
    </w:p>
    <w:p>
      <w:pPr>
        <w:spacing w:before="0" w:after="0"/>
        <w:ind w:left="120"/>
        <w:jc w:val="both"/>
      </w:pPr>
      <w:r>
        <w:rPr>
          <w:rFonts w:ascii="Times New Roman" w:hAnsi="Times New Roman"/>
          <w:b w:val="false"/>
          <w:i w:val="false"/>
          <w:color w:val="000000"/>
          <w:sz w:val="22"/>
        </w:rPr>
        <w:t>Highway construction, except elevated—general contractors</w:t>
      </w:r>
    </w:p>
    <w:p>
      <w:pPr>
        <w:spacing w:before="0" w:after="0"/>
        <w:ind w:left="120"/>
        <w:jc w:val="both"/>
      </w:pPr>
      <w:r>
        <w:rPr>
          <w:rFonts w:ascii="Times New Roman" w:hAnsi="Times New Roman"/>
          <w:b w:val="false"/>
          <w:i w:val="false"/>
          <w:color w:val="000000"/>
          <w:sz w:val="22"/>
        </w:rPr>
        <w:t>Highway signs, installation of—contractors</w:t>
      </w:r>
    </w:p>
    <w:p>
      <w:pPr>
        <w:spacing w:before="0" w:after="0"/>
        <w:ind w:left="120"/>
        <w:jc w:val="both"/>
      </w:pPr>
      <w:r>
        <w:rPr>
          <w:rFonts w:ascii="Times New Roman" w:hAnsi="Times New Roman"/>
          <w:b w:val="false"/>
          <w:i w:val="false"/>
          <w:color w:val="000000"/>
          <w:sz w:val="22"/>
        </w:rPr>
        <w:t>Parkway construction—general contractors</w:t>
      </w:r>
    </w:p>
    <w:p>
      <w:pPr>
        <w:spacing w:before="0" w:after="0"/>
        <w:ind w:left="120"/>
        <w:jc w:val="both"/>
      </w:pPr>
      <w:r>
        <w:rPr>
          <w:rFonts w:ascii="Times New Roman" w:hAnsi="Times New Roman"/>
          <w:b w:val="false"/>
          <w:i w:val="false"/>
          <w:color w:val="000000"/>
          <w:sz w:val="22"/>
        </w:rPr>
        <w:t>Paving construction—contractors</w:t>
      </w:r>
    </w:p>
    <w:p>
      <w:pPr>
        <w:spacing w:before="0" w:after="0"/>
        <w:ind w:left="120"/>
        <w:jc w:val="both"/>
      </w:pPr>
      <w:r>
        <w:rPr>
          <w:rFonts w:ascii="Times New Roman" w:hAnsi="Times New Roman"/>
          <w:b w:val="false"/>
          <w:i w:val="false"/>
          <w:color w:val="000000"/>
          <w:sz w:val="22"/>
        </w:rPr>
        <w:t>Resurfacing streets and highways—contractors</w:t>
      </w:r>
    </w:p>
    <w:p>
      <w:pPr>
        <w:spacing w:before="0" w:after="0"/>
        <w:ind w:left="120"/>
        <w:jc w:val="both"/>
      </w:pPr>
      <w:r>
        <w:rPr>
          <w:rFonts w:ascii="Times New Roman" w:hAnsi="Times New Roman"/>
          <w:b w:val="false"/>
          <w:i w:val="false"/>
          <w:color w:val="000000"/>
          <w:sz w:val="22"/>
        </w:rPr>
        <w:t>Road construction, except elevated—general contractors</w:t>
      </w:r>
    </w:p>
    <w:p>
      <w:pPr>
        <w:spacing w:before="0" w:after="0"/>
        <w:ind w:left="120"/>
        <w:jc w:val="both"/>
      </w:pPr>
      <w:r>
        <w:rPr>
          <w:rFonts w:ascii="Times New Roman" w:hAnsi="Times New Roman"/>
          <w:b w:val="false"/>
          <w:i w:val="false"/>
          <w:color w:val="000000"/>
          <w:sz w:val="22"/>
        </w:rPr>
        <w:t>Sidewalk construction, public—contractors</w:t>
      </w:r>
    </w:p>
    <w:p>
      <w:pPr>
        <w:spacing w:before="0" w:after="0"/>
        <w:ind w:left="120"/>
        <w:jc w:val="both"/>
      </w:pPr>
      <w:r>
        <w:rPr>
          <w:rFonts w:ascii="Times New Roman" w:hAnsi="Times New Roman"/>
          <w:b w:val="false"/>
          <w:i w:val="false"/>
          <w:color w:val="000000"/>
          <w:sz w:val="22"/>
        </w:rPr>
        <w:t>Street maintenance or repair—contractors</w:t>
      </w:r>
    </w:p>
    <w:p>
      <w:pPr>
        <w:spacing w:before="0" w:after="0"/>
        <w:ind w:left="120"/>
        <w:jc w:val="both"/>
      </w:pPr>
      <w:r>
        <w:rPr>
          <w:rFonts w:ascii="Times New Roman" w:hAnsi="Times New Roman"/>
          <w:b w:val="false"/>
          <w:i w:val="false"/>
          <w:color w:val="000000"/>
          <w:sz w:val="22"/>
        </w:rPr>
        <w:t>Street paving—contractors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Bridge and tunnel construction. Establishments primarily responsible for the entire construction (i.e., new work, reconstruction, or repairs) of bridges, viaducts, elevated highways and tunnels, and establishments identified as bridge and tunnel construction management firms, and establishments identified as special trade contractors primarily engaged in performing subcontract work related to bridge and tunnel construction.</w:t>
      </w:r>
    </w:p>
    <w:p>
      <w:pPr>
        <w:spacing w:before="0" w:after="0"/>
        <w:ind w:left="120"/>
        <w:jc w:val="both"/>
      </w:pPr>
      <w:r>
        <w:rPr>
          <w:rFonts w:ascii="Times New Roman" w:hAnsi="Times New Roman"/>
          <w:b w:val="false"/>
          <w:i w:val="false"/>
          <w:color w:val="000000"/>
          <w:sz w:val="22"/>
        </w:rPr>
        <w:t>Abutment construction—general contractors</w:t>
      </w:r>
    </w:p>
    <w:p>
      <w:pPr>
        <w:spacing w:before="0" w:after="0"/>
        <w:ind w:left="120"/>
        <w:jc w:val="both"/>
      </w:pPr>
      <w:r>
        <w:rPr>
          <w:rFonts w:ascii="Times New Roman" w:hAnsi="Times New Roman"/>
          <w:b w:val="false"/>
          <w:i w:val="false"/>
          <w:color w:val="000000"/>
          <w:sz w:val="22"/>
        </w:rPr>
        <w:t>Bridge construction—general contractors</w:t>
      </w:r>
    </w:p>
    <w:p>
      <w:pPr>
        <w:spacing w:before="0" w:after="0"/>
        <w:ind w:left="120"/>
        <w:jc w:val="both"/>
      </w:pPr>
      <w:r>
        <w:rPr>
          <w:rFonts w:ascii="Times New Roman" w:hAnsi="Times New Roman"/>
          <w:b w:val="false"/>
          <w:i w:val="false"/>
          <w:color w:val="000000"/>
          <w:sz w:val="22"/>
        </w:rPr>
        <w:t>Causeway construction on structural supports—general contractors</w:t>
      </w:r>
    </w:p>
    <w:p>
      <w:pPr>
        <w:spacing w:before="0" w:after="0"/>
        <w:ind w:left="120"/>
        <w:jc w:val="both"/>
      </w:pPr>
      <w:r>
        <w:rPr>
          <w:rFonts w:ascii="Times New Roman" w:hAnsi="Times New Roman"/>
          <w:b w:val="false"/>
          <w:i w:val="false"/>
          <w:color w:val="000000"/>
          <w:sz w:val="22"/>
        </w:rPr>
        <w:t>Highway construction, elevated—general contractors</w:t>
      </w:r>
    </w:p>
    <w:p>
      <w:pPr>
        <w:spacing w:before="0" w:after="0"/>
        <w:ind w:left="120"/>
        <w:jc w:val="both"/>
      </w:pPr>
      <w:r>
        <w:rPr>
          <w:rFonts w:ascii="Times New Roman" w:hAnsi="Times New Roman"/>
          <w:b w:val="false"/>
          <w:i w:val="false"/>
          <w:color w:val="000000"/>
          <w:sz w:val="22"/>
        </w:rPr>
        <w:t>Overpass construction—general contractors</w:t>
      </w:r>
    </w:p>
    <w:p>
      <w:pPr>
        <w:spacing w:before="0" w:after="0"/>
        <w:ind w:left="120"/>
        <w:jc w:val="both"/>
      </w:pPr>
      <w:r>
        <w:rPr>
          <w:rFonts w:ascii="Times New Roman" w:hAnsi="Times New Roman"/>
          <w:b w:val="false"/>
          <w:i w:val="false"/>
          <w:color w:val="000000"/>
          <w:sz w:val="22"/>
        </w:rPr>
        <w:t>Trestle construction—general contractors</w:t>
      </w:r>
    </w:p>
    <w:p>
      <w:pPr>
        <w:spacing w:before="0" w:after="0"/>
        <w:ind w:left="120"/>
        <w:jc w:val="both"/>
      </w:pPr>
      <w:r>
        <w:rPr>
          <w:rFonts w:ascii="Times New Roman" w:hAnsi="Times New Roman"/>
          <w:b w:val="false"/>
          <w:i w:val="false"/>
          <w:color w:val="000000"/>
          <w:sz w:val="22"/>
        </w:rPr>
        <w:t>Tunnel construction—general contractors</w:t>
      </w:r>
    </w:p>
    <w:p>
      <w:pPr>
        <w:spacing w:before="0" w:after="0"/>
        <w:ind w:left="120"/>
        <w:jc w:val="both"/>
      </w:pPr>
      <w:r>
        <w:rPr>
          <w:rFonts w:ascii="Times New Roman" w:hAnsi="Times New Roman"/>
          <w:b w:val="false"/>
          <w:i w:val="false"/>
          <w:color w:val="000000"/>
          <w:sz w:val="22"/>
        </w:rPr>
        <w:t>Underpass construction—general contractors</w:t>
      </w:r>
    </w:p>
    <w:p>
      <w:pPr>
        <w:spacing w:before="0" w:after="0"/>
        <w:ind w:left="120"/>
        <w:jc w:val="both"/>
      </w:pPr>
      <w:r>
        <w:rPr>
          <w:rFonts w:ascii="Times New Roman" w:hAnsi="Times New Roman"/>
          <w:b w:val="false"/>
          <w:i w:val="false"/>
          <w:color w:val="000000"/>
          <w:sz w:val="22"/>
        </w:rPr>
        <w:t>Viaduct construction—general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Other heavy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Water, sewer, and pipeline construction. Establishments primarily responsible for the entire construction (i.e., new work, reconstruction, rehabilitation or repairs) of water mains, sewers, drains, gas mains, natural gas pumping stations, and gas and oil pipelines, and establishments identified as water, sewer and pipeline construction management firms, and establishments identified as special trade contractors engaged in activities primarily related to water, sewer, and pipeline construction.</w:t>
      </w:r>
    </w:p>
    <w:p>
      <w:pPr>
        <w:spacing w:before="0" w:after="0"/>
        <w:ind w:left="120"/>
        <w:jc w:val="both"/>
      </w:pPr>
      <w:r>
        <w:rPr>
          <w:rFonts w:ascii="Times New Roman" w:hAnsi="Times New Roman"/>
          <w:b w:val="false"/>
          <w:i w:val="false"/>
          <w:color w:val="000000"/>
          <w:sz w:val="22"/>
        </w:rPr>
        <w:t>Aqueduct construction—general contractors</w:t>
      </w:r>
    </w:p>
    <w:p>
      <w:pPr>
        <w:spacing w:before="0" w:after="0"/>
        <w:ind w:left="120"/>
        <w:jc w:val="both"/>
      </w:pPr>
      <w:r>
        <w:rPr>
          <w:rFonts w:ascii="Times New Roman" w:hAnsi="Times New Roman"/>
          <w:b w:val="false"/>
          <w:i w:val="false"/>
          <w:color w:val="000000"/>
          <w:sz w:val="22"/>
        </w:rPr>
        <w:t>Conduit construction—contractors</w:t>
      </w:r>
    </w:p>
    <w:p>
      <w:pPr>
        <w:spacing w:before="0" w:after="0"/>
        <w:ind w:left="120"/>
        <w:jc w:val="both"/>
      </w:pPr>
      <w:r>
        <w:rPr>
          <w:rFonts w:ascii="Times New Roman" w:hAnsi="Times New Roman"/>
          <w:b w:val="false"/>
          <w:i w:val="false"/>
          <w:color w:val="000000"/>
          <w:sz w:val="22"/>
        </w:rPr>
        <w:t>Distribution lines (oil and gas field) construction—general contractors</w:t>
      </w:r>
    </w:p>
    <w:p>
      <w:pPr>
        <w:spacing w:before="0" w:after="0"/>
        <w:ind w:left="120"/>
        <w:jc w:val="both"/>
      </w:pPr>
      <w:r>
        <w:rPr>
          <w:rFonts w:ascii="Times New Roman" w:hAnsi="Times New Roman"/>
          <w:b w:val="false"/>
          <w:i w:val="false"/>
          <w:color w:val="000000"/>
          <w:sz w:val="22"/>
        </w:rPr>
        <w:t>Gas main construction—general contractors</w:t>
      </w:r>
    </w:p>
    <w:p>
      <w:pPr>
        <w:spacing w:before="0" w:after="0"/>
        <w:ind w:left="120"/>
        <w:jc w:val="both"/>
      </w:pPr>
      <w:r>
        <w:rPr>
          <w:rFonts w:ascii="Times New Roman" w:hAnsi="Times New Roman"/>
          <w:b w:val="false"/>
          <w:i w:val="false"/>
          <w:color w:val="000000"/>
          <w:sz w:val="22"/>
        </w:rPr>
        <w:t>Manhole construction—contractors</w:t>
      </w:r>
    </w:p>
    <w:p>
      <w:pPr>
        <w:spacing w:before="0" w:after="0"/>
        <w:ind w:left="120"/>
        <w:jc w:val="both"/>
      </w:pPr>
      <w:r>
        <w:rPr>
          <w:rFonts w:ascii="Times New Roman" w:hAnsi="Times New Roman"/>
          <w:b w:val="false"/>
          <w:i w:val="false"/>
          <w:color w:val="000000"/>
          <w:sz w:val="22"/>
        </w:rPr>
        <w:t>Natural gas compressing station construction—general contractors</w:t>
      </w:r>
    </w:p>
    <w:p>
      <w:pPr>
        <w:spacing w:before="0" w:after="0"/>
        <w:ind w:left="120"/>
        <w:jc w:val="both"/>
      </w:pPr>
      <w:r>
        <w:rPr>
          <w:rFonts w:ascii="Times New Roman" w:hAnsi="Times New Roman"/>
          <w:b w:val="false"/>
          <w:i w:val="false"/>
          <w:color w:val="000000"/>
          <w:sz w:val="22"/>
        </w:rPr>
        <w:t>Pipe laying—general contractors</w:t>
      </w:r>
    </w:p>
    <w:p>
      <w:pPr>
        <w:spacing w:before="0" w:after="0"/>
        <w:ind w:left="120"/>
        <w:jc w:val="both"/>
      </w:pPr>
      <w:r>
        <w:rPr>
          <w:rFonts w:ascii="Times New Roman" w:hAnsi="Times New Roman"/>
          <w:b w:val="false"/>
          <w:i w:val="false"/>
          <w:color w:val="000000"/>
          <w:sz w:val="22"/>
        </w:rPr>
        <w:t>Pipeline construction—general contractors</w:t>
      </w:r>
    </w:p>
    <w:p>
      <w:pPr>
        <w:spacing w:before="0" w:after="0"/>
        <w:ind w:left="120"/>
        <w:jc w:val="both"/>
      </w:pPr>
      <w:r>
        <w:rPr>
          <w:rFonts w:ascii="Times New Roman" w:hAnsi="Times New Roman"/>
          <w:b w:val="false"/>
          <w:i w:val="false"/>
          <w:color w:val="000000"/>
          <w:sz w:val="22"/>
        </w:rPr>
        <w:t>Pipeline wrapping—contractors</w:t>
      </w:r>
    </w:p>
    <w:p>
      <w:pPr>
        <w:spacing w:before="0" w:after="0"/>
        <w:ind w:left="120"/>
        <w:jc w:val="both"/>
      </w:pPr>
      <w:r>
        <w:rPr>
          <w:rFonts w:ascii="Times New Roman" w:hAnsi="Times New Roman"/>
          <w:b w:val="false"/>
          <w:i w:val="false"/>
          <w:color w:val="000000"/>
          <w:sz w:val="22"/>
        </w:rPr>
        <w:t>Pumping station construction—general contractors</w:t>
      </w:r>
    </w:p>
    <w:p>
      <w:pPr>
        <w:spacing w:before="0" w:after="0"/>
        <w:ind w:left="120"/>
        <w:jc w:val="both"/>
      </w:pPr>
      <w:r>
        <w:rPr>
          <w:rFonts w:ascii="Times New Roman" w:hAnsi="Times New Roman"/>
          <w:b w:val="false"/>
          <w:i w:val="false"/>
          <w:color w:val="000000"/>
          <w:sz w:val="22"/>
        </w:rPr>
        <w:t>Sewage collection and disposal line construction—general contractors</w:t>
      </w:r>
    </w:p>
    <w:p>
      <w:pPr>
        <w:spacing w:before="0" w:after="0"/>
        <w:ind w:left="120"/>
        <w:jc w:val="both"/>
      </w:pPr>
      <w:r>
        <w:rPr>
          <w:rFonts w:ascii="Times New Roman" w:hAnsi="Times New Roman"/>
          <w:b w:val="false"/>
          <w:i w:val="false"/>
          <w:color w:val="000000"/>
          <w:sz w:val="22"/>
        </w:rPr>
        <w:t>Sewer construction—general contractors</w:t>
      </w:r>
    </w:p>
    <w:p>
      <w:pPr>
        <w:spacing w:before="0" w:after="0"/>
        <w:ind w:left="120"/>
        <w:jc w:val="both"/>
      </w:pPr>
      <w:r>
        <w:rPr>
          <w:rFonts w:ascii="Times New Roman" w:hAnsi="Times New Roman"/>
          <w:b w:val="false"/>
          <w:i w:val="false"/>
          <w:color w:val="000000"/>
          <w:sz w:val="22"/>
        </w:rPr>
        <w:t>Water main line construction—general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Power and communication transmission line construction. Establishments primarily responsible for the entire construction (i.e., new work, reconstruction, rehabilitation or repairs) of electric power and communication transmission lines and towers, radio and television transmitting/receiving towers, cable laying, and cable television lines, and establishments identified as power and communication transmission line construction management firms, and establishments identified as special trade contractors engaged in activities primarily related to power and communication line construction.</w:t>
      </w:r>
    </w:p>
    <w:p>
      <w:pPr>
        <w:spacing w:before="0" w:after="0"/>
        <w:ind w:left="120"/>
        <w:jc w:val="both"/>
      </w:pPr>
      <w:r>
        <w:rPr>
          <w:rFonts w:ascii="Times New Roman" w:hAnsi="Times New Roman"/>
          <w:b w:val="false"/>
          <w:i w:val="false"/>
          <w:color w:val="000000"/>
          <w:sz w:val="22"/>
        </w:rPr>
        <w:t>Cable laying construction—contractors</w:t>
      </w:r>
    </w:p>
    <w:p>
      <w:pPr>
        <w:spacing w:before="0" w:after="0"/>
        <w:ind w:left="120"/>
        <w:jc w:val="both"/>
      </w:pPr>
      <w:r>
        <w:rPr>
          <w:rFonts w:ascii="Times New Roman" w:hAnsi="Times New Roman"/>
          <w:b w:val="false"/>
          <w:i w:val="false"/>
          <w:color w:val="000000"/>
          <w:sz w:val="22"/>
        </w:rPr>
        <w:t>Cable television line construction—contractors</w:t>
      </w:r>
    </w:p>
    <w:p>
      <w:pPr>
        <w:spacing w:before="0" w:after="0"/>
        <w:ind w:left="120"/>
        <w:jc w:val="both"/>
      </w:pPr>
      <w:r>
        <w:rPr>
          <w:rFonts w:ascii="Times New Roman" w:hAnsi="Times New Roman"/>
          <w:b w:val="false"/>
          <w:i w:val="false"/>
          <w:color w:val="000000"/>
          <w:sz w:val="22"/>
        </w:rPr>
        <w:t>Pole line construction—general contractors</w:t>
      </w:r>
    </w:p>
    <w:p>
      <w:pPr>
        <w:spacing w:before="0" w:after="0"/>
        <w:ind w:left="120"/>
        <w:jc w:val="both"/>
      </w:pPr>
      <w:r>
        <w:rPr>
          <w:rFonts w:ascii="Times New Roman" w:hAnsi="Times New Roman"/>
          <w:b w:val="false"/>
          <w:i w:val="false"/>
          <w:color w:val="000000"/>
          <w:sz w:val="22"/>
        </w:rPr>
        <w:t>Power line construction—general contractors</w:t>
      </w:r>
    </w:p>
    <w:p>
      <w:pPr>
        <w:spacing w:before="0" w:after="0"/>
        <w:ind w:left="120"/>
        <w:jc w:val="both"/>
      </w:pPr>
      <w:r>
        <w:rPr>
          <w:rFonts w:ascii="Times New Roman" w:hAnsi="Times New Roman"/>
          <w:b w:val="false"/>
          <w:i w:val="false"/>
          <w:color w:val="000000"/>
          <w:sz w:val="22"/>
        </w:rPr>
        <w:t>Telegraph line construction—general contractors</w:t>
      </w:r>
    </w:p>
    <w:p>
      <w:pPr>
        <w:spacing w:before="0" w:after="0"/>
        <w:ind w:left="120"/>
        <w:jc w:val="both"/>
      </w:pPr>
      <w:r>
        <w:rPr>
          <w:rFonts w:ascii="Times New Roman" w:hAnsi="Times New Roman"/>
          <w:b w:val="false"/>
          <w:i w:val="false"/>
          <w:color w:val="000000"/>
          <w:sz w:val="22"/>
        </w:rPr>
        <w:t>Telephone line construction—general contractors</w:t>
      </w:r>
    </w:p>
    <w:p>
      <w:pPr>
        <w:spacing w:before="0" w:after="0"/>
        <w:ind w:left="120"/>
        <w:jc w:val="both"/>
      </w:pPr>
      <w:r>
        <w:rPr>
          <w:rFonts w:ascii="Times New Roman" w:hAnsi="Times New Roman"/>
          <w:b w:val="false"/>
          <w:i w:val="false"/>
          <w:color w:val="000000"/>
          <w:sz w:val="22"/>
        </w:rPr>
        <w:t>Television and radio transmitting tower construction—general contractors</w:t>
      </w:r>
    </w:p>
    <w:p>
      <w:pPr>
        <w:spacing w:before="0" w:after="0"/>
        <w:ind w:left="120"/>
        <w:jc w:val="both"/>
      </w:pPr>
      <w:r>
        <w:rPr>
          <w:rFonts w:ascii="Times New Roman" w:hAnsi="Times New Roman"/>
          <w:b w:val="false"/>
          <w:i w:val="false"/>
          <w:color w:val="000000"/>
          <w:sz w:val="22"/>
        </w:rPr>
        <w:t>Transmission line construction—general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Industrial nonbuilding structure construction. Establishments primarily responsible for the entire construction (i.e., new work, reconstruction, rehabilitation or repairs) of heavy industrial nonbuilding structures, such as chemical complexes, or facilities, cement plants, petroleum refineries, industrial incinerators, ovens, kilns, power plants (except hydroelectric plants), and nuclear reactor containment structures, and establishments identified as industrial nonbuilding construction management firms, and establishments identified as special trade contractors engaged in activities primarily related to industrial nonbuilding construction.</w:t>
      </w:r>
    </w:p>
    <w:p>
      <w:pPr>
        <w:spacing w:before="0" w:after="0"/>
        <w:ind w:left="120"/>
        <w:jc w:val="both"/>
      </w:pPr>
      <w:r>
        <w:rPr>
          <w:rFonts w:ascii="Times New Roman" w:hAnsi="Times New Roman"/>
          <w:b w:val="false"/>
          <w:i w:val="false"/>
          <w:color w:val="000000"/>
          <w:sz w:val="22"/>
        </w:rPr>
        <w:t>Chemical complex or facilities construction—general contractors</w:t>
      </w:r>
    </w:p>
    <w:p>
      <w:pPr>
        <w:spacing w:before="0" w:after="0"/>
        <w:ind w:left="120"/>
        <w:jc w:val="both"/>
      </w:pPr>
      <w:r>
        <w:rPr>
          <w:rFonts w:ascii="Times New Roman" w:hAnsi="Times New Roman"/>
          <w:b w:val="false"/>
          <w:i w:val="false"/>
          <w:color w:val="000000"/>
          <w:sz w:val="22"/>
        </w:rPr>
        <w:t>Coke oven construction—general contractors</w:t>
      </w:r>
    </w:p>
    <w:p>
      <w:pPr>
        <w:spacing w:before="0" w:after="0"/>
        <w:ind w:left="120"/>
        <w:jc w:val="both"/>
      </w:pPr>
      <w:r>
        <w:rPr>
          <w:rFonts w:ascii="Times New Roman" w:hAnsi="Times New Roman"/>
          <w:b w:val="false"/>
          <w:i w:val="false"/>
          <w:color w:val="000000"/>
          <w:sz w:val="22"/>
        </w:rPr>
        <w:t>Discharging station construction, mine—general contractors</w:t>
      </w:r>
    </w:p>
    <w:p>
      <w:pPr>
        <w:spacing w:before="0" w:after="0"/>
        <w:ind w:left="120"/>
        <w:jc w:val="both"/>
      </w:pPr>
      <w:r>
        <w:rPr>
          <w:rFonts w:ascii="Times New Roman" w:hAnsi="Times New Roman"/>
          <w:b w:val="false"/>
          <w:i w:val="false"/>
          <w:color w:val="000000"/>
          <w:sz w:val="22"/>
        </w:rPr>
        <w:t>Furnace construction for industrial plants—general contractors</w:t>
      </w:r>
    </w:p>
    <w:p>
      <w:pPr>
        <w:spacing w:before="0" w:after="0"/>
        <w:ind w:left="120"/>
        <w:jc w:val="both"/>
      </w:pPr>
      <w:r>
        <w:rPr>
          <w:rFonts w:ascii="Times New Roman" w:hAnsi="Times New Roman"/>
          <w:b w:val="false"/>
          <w:i w:val="false"/>
          <w:color w:val="000000"/>
          <w:sz w:val="22"/>
        </w:rPr>
        <w:t>Industrial incinerator construction—general contractors</w:t>
      </w:r>
    </w:p>
    <w:p>
      <w:pPr>
        <w:spacing w:before="0" w:after="0"/>
        <w:ind w:left="120"/>
        <w:jc w:val="both"/>
      </w:pPr>
      <w:r>
        <w:rPr>
          <w:rFonts w:ascii="Times New Roman" w:hAnsi="Times New Roman"/>
          <w:b w:val="false"/>
          <w:i w:val="false"/>
          <w:color w:val="000000"/>
          <w:sz w:val="22"/>
        </w:rPr>
        <w:t>Industrial plant appurtenance construction—general contractors</w:t>
      </w:r>
    </w:p>
    <w:p>
      <w:pPr>
        <w:spacing w:before="0" w:after="0"/>
        <w:ind w:left="120"/>
        <w:jc w:val="both"/>
      </w:pPr>
      <w:r>
        <w:rPr>
          <w:rFonts w:ascii="Times New Roman" w:hAnsi="Times New Roman"/>
          <w:b w:val="false"/>
          <w:i w:val="false"/>
          <w:color w:val="000000"/>
          <w:sz w:val="22"/>
        </w:rPr>
        <w:t>Kiln construction—general contractors</w:t>
      </w:r>
    </w:p>
    <w:p>
      <w:pPr>
        <w:spacing w:before="0" w:after="0"/>
        <w:ind w:left="120"/>
        <w:jc w:val="both"/>
      </w:pPr>
      <w:r>
        <w:rPr>
          <w:rFonts w:ascii="Times New Roman" w:hAnsi="Times New Roman"/>
          <w:b w:val="false"/>
          <w:i w:val="false"/>
          <w:color w:val="000000"/>
          <w:sz w:val="22"/>
        </w:rPr>
        <w:t>Light and power plant construction—general contractors</w:t>
      </w:r>
    </w:p>
    <w:p>
      <w:pPr>
        <w:spacing w:before="0" w:after="0"/>
        <w:ind w:left="120"/>
        <w:jc w:val="both"/>
      </w:pPr>
      <w:r>
        <w:rPr>
          <w:rFonts w:ascii="Times New Roman" w:hAnsi="Times New Roman"/>
          <w:b w:val="false"/>
          <w:i w:val="false"/>
          <w:color w:val="000000"/>
          <w:sz w:val="22"/>
        </w:rPr>
        <w:t>Loading station construction, mine—general contractors</w:t>
      </w:r>
    </w:p>
    <w:p>
      <w:pPr>
        <w:spacing w:before="0" w:after="0"/>
        <w:ind w:left="120"/>
        <w:jc w:val="both"/>
      </w:pPr>
      <w:r>
        <w:rPr>
          <w:rFonts w:ascii="Times New Roman" w:hAnsi="Times New Roman"/>
          <w:b w:val="false"/>
          <w:i w:val="false"/>
          <w:color w:val="000000"/>
          <w:sz w:val="22"/>
        </w:rPr>
        <w:t>Mine loading and discharging station construction—general contractors</w:t>
      </w:r>
    </w:p>
    <w:p>
      <w:pPr>
        <w:spacing w:before="0" w:after="0"/>
        <w:ind w:left="120"/>
        <w:jc w:val="both"/>
      </w:pPr>
      <w:r>
        <w:rPr>
          <w:rFonts w:ascii="Times New Roman" w:hAnsi="Times New Roman"/>
          <w:b w:val="false"/>
          <w:i w:val="false"/>
          <w:color w:val="000000"/>
          <w:sz w:val="22"/>
        </w:rPr>
        <w:t>Mining appurtenance construction—general contractors</w:t>
      </w:r>
    </w:p>
    <w:p>
      <w:pPr>
        <w:spacing w:before="0" w:after="0"/>
        <w:ind w:left="120"/>
        <w:jc w:val="both"/>
      </w:pPr>
      <w:r>
        <w:rPr>
          <w:rFonts w:ascii="Times New Roman" w:hAnsi="Times New Roman"/>
          <w:b w:val="false"/>
          <w:i w:val="false"/>
          <w:color w:val="000000"/>
          <w:sz w:val="22"/>
        </w:rPr>
        <w:t>Nuclear reactor containment structure construction—general contractors</w:t>
      </w:r>
    </w:p>
    <w:p>
      <w:pPr>
        <w:spacing w:before="0" w:after="0"/>
        <w:ind w:left="120"/>
        <w:jc w:val="both"/>
      </w:pPr>
      <w:r>
        <w:rPr>
          <w:rFonts w:ascii="Times New Roman" w:hAnsi="Times New Roman"/>
          <w:b w:val="false"/>
          <w:i w:val="false"/>
          <w:color w:val="000000"/>
          <w:sz w:val="22"/>
        </w:rPr>
        <w:t>Oil refinery construction—general contractors</w:t>
      </w:r>
    </w:p>
    <w:p>
      <w:pPr>
        <w:spacing w:before="0" w:after="0"/>
        <w:ind w:left="120"/>
        <w:jc w:val="both"/>
      </w:pPr>
      <w:r>
        <w:rPr>
          <w:rFonts w:ascii="Times New Roman" w:hAnsi="Times New Roman"/>
          <w:b w:val="false"/>
          <w:i w:val="false"/>
          <w:color w:val="000000"/>
          <w:sz w:val="22"/>
        </w:rPr>
        <w:t>Oven construction, bakers’—general contractors</w:t>
      </w:r>
    </w:p>
    <w:p>
      <w:pPr>
        <w:spacing w:before="0" w:after="0"/>
        <w:ind w:left="120"/>
        <w:jc w:val="both"/>
      </w:pPr>
      <w:r>
        <w:rPr>
          <w:rFonts w:ascii="Times New Roman" w:hAnsi="Times New Roman"/>
          <w:b w:val="false"/>
          <w:i w:val="false"/>
          <w:color w:val="000000"/>
          <w:sz w:val="22"/>
        </w:rPr>
        <w:t>Oven construction for industrial plants—general contractors</w:t>
      </w:r>
    </w:p>
    <w:p>
      <w:pPr>
        <w:spacing w:before="0" w:after="0"/>
        <w:ind w:left="120"/>
        <w:jc w:val="both"/>
      </w:pPr>
      <w:r>
        <w:rPr>
          <w:rFonts w:ascii="Times New Roman" w:hAnsi="Times New Roman"/>
          <w:b w:val="false"/>
          <w:i w:val="false"/>
          <w:color w:val="000000"/>
          <w:sz w:val="22"/>
        </w:rPr>
        <w:t>Petrochemical plant construction—general contractors</w:t>
      </w:r>
    </w:p>
    <w:p>
      <w:pPr>
        <w:spacing w:before="0" w:after="0"/>
        <w:ind w:left="120"/>
        <w:jc w:val="both"/>
      </w:pPr>
      <w:r>
        <w:rPr>
          <w:rFonts w:ascii="Times New Roman" w:hAnsi="Times New Roman"/>
          <w:b w:val="false"/>
          <w:i w:val="false"/>
          <w:color w:val="000000"/>
          <w:sz w:val="22"/>
        </w:rPr>
        <w:t>Petroleum refinery construction—general contractors</w:t>
      </w:r>
    </w:p>
    <w:p>
      <w:pPr>
        <w:spacing w:before="0" w:after="0"/>
        <w:ind w:left="120"/>
        <w:jc w:val="both"/>
      </w:pPr>
      <w:r>
        <w:rPr>
          <w:rFonts w:ascii="Times New Roman" w:hAnsi="Times New Roman"/>
          <w:b w:val="false"/>
          <w:i w:val="false"/>
          <w:color w:val="000000"/>
          <w:sz w:val="22"/>
        </w:rPr>
        <w:t>Power plant construction—general contractors</w:t>
      </w:r>
    </w:p>
    <w:p>
      <w:pPr>
        <w:spacing w:before="0" w:after="0"/>
        <w:ind w:left="120"/>
        <w:jc w:val="both"/>
      </w:pPr>
      <w:r>
        <w:rPr>
          <w:rFonts w:ascii="Times New Roman" w:hAnsi="Times New Roman"/>
          <w:b w:val="false"/>
          <w:i w:val="false"/>
          <w:color w:val="000000"/>
          <w:sz w:val="22"/>
        </w:rPr>
        <w:t>Tipple construction—general contractors</w:t>
      </w:r>
    </w:p>
    <w:p>
      <w:pPr>
        <w:spacing w:before="0" w:after="0"/>
        <w:ind w:left="120"/>
        <w:jc w:val="both"/>
      </w:pPr>
      <w:r>
        <w:rPr>
          <w:rFonts w:ascii="Times New Roman" w:hAnsi="Times New Roman"/>
          <w:b w:val="false"/>
          <w:i w:val="false"/>
          <w:color w:val="000000"/>
          <w:sz w:val="22"/>
        </w:rPr>
        <w:t>Washeries construction, mining—general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other heavy construction. Establishments primarily responsible for the entire construction (i.e., new work, reconstruction or repairs) of heavy nonbuilding construction projects (except highway, street, bridge, tunnel, water lines, sewer lines, pipelines, and power and communication transmission lines), and industrial nonbuilding structures, and establishments identified as all other heavy construction management firms, and establishments primarily engaged in construction equipment rental with an operator, and establishments identified as special trade contractors engaged in activities primarily related to all other heavy construction.</w:t>
      </w:r>
    </w:p>
    <w:p>
      <w:pPr>
        <w:spacing w:before="0" w:after="0"/>
        <w:ind w:left="120"/>
        <w:jc w:val="both"/>
      </w:pPr>
      <w:r>
        <w:rPr>
          <w:rFonts w:ascii="Times New Roman" w:hAnsi="Times New Roman"/>
          <w:b w:val="false"/>
          <w:i w:val="false"/>
          <w:color w:val="000000"/>
          <w:sz w:val="22"/>
        </w:rPr>
        <w:t>Athletic field construction—general contractors</w:t>
      </w:r>
    </w:p>
    <w:p>
      <w:pPr>
        <w:spacing w:before="0" w:after="0"/>
        <w:ind w:left="120"/>
        <w:jc w:val="both"/>
      </w:pPr>
      <w:r>
        <w:rPr>
          <w:rFonts w:ascii="Times New Roman" w:hAnsi="Times New Roman"/>
          <w:b w:val="false"/>
          <w:i w:val="false"/>
          <w:color w:val="000000"/>
          <w:sz w:val="22"/>
        </w:rPr>
        <w:t>Blasting, except building demolition—contractors</w:t>
      </w:r>
    </w:p>
    <w:p>
      <w:pPr>
        <w:spacing w:before="0" w:after="0"/>
        <w:ind w:left="120"/>
        <w:jc w:val="both"/>
      </w:pPr>
      <w:r>
        <w:rPr>
          <w:rFonts w:ascii="Times New Roman" w:hAnsi="Times New Roman"/>
          <w:b w:val="false"/>
          <w:i w:val="false"/>
          <w:color w:val="000000"/>
          <w:sz w:val="22"/>
        </w:rPr>
        <w:t>Breakwater construction—general contractors</w:t>
      </w:r>
    </w:p>
    <w:p>
      <w:pPr>
        <w:spacing w:before="0" w:after="0"/>
        <w:ind w:left="120"/>
        <w:jc w:val="both"/>
      </w:pPr>
      <w:r>
        <w:rPr>
          <w:rFonts w:ascii="Times New Roman" w:hAnsi="Times New Roman"/>
          <w:b w:val="false"/>
          <w:i w:val="false"/>
          <w:color w:val="000000"/>
          <w:sz w:val="22"/>
        </w:rPr>
        <w:t>Bridle path construction—general contractors</w:t>
      </w:r>
    </w:p>
    <w:p>
      <w:pPr>
        <w:spacing w:before="0" w:after="0"/>
        <w:ind w:left="120"/>
        <w:jc w:val="both"/>
      </w:pPr>
      <w:r>
        <w:rPr>
          <w:rFonts w:ascii="Times New Roman" w:hAnsi="Times New Roman"/>
          <w:b w:val="false"/>
          <w:i w:val="false"/>
          <w:color w:val="000000"/>
          <w:sz w:val="22"/>
        </w:rPr>
        <w:t>Brush clearing or cutting—contractors</w:t>
      </w:r>
    </w:p>
    <w:p>
      <w:pPr>
        <w:spacing w:before="0" w:after="0"/>
        <w:ind w:left="120"/>
        <w:jc w:val="both"/>
      </w:pPr>
      <w:r>
        <w:rPr>
          <w:rFonts w:ascii="Times New Roman" w:hAnsi="Times New Roman"/>
          <w:b w:val="false"/>
          <w:i w:val="false"/>
          <w:color w:val="000000"/>
          <w:sz w:val="22"/>
        </w:rPr>
        <w:t>Caisson drilling—contractors</w:t>
      </w:r>
    </w:p>
    <w:p>
      <w:pPr>
        <w:spacing w:before="0" w:after="0"/>
        <w:ind w:left="120"/>
        <w:jc w:val="both"/>
      </w:pPr>
      <w:r>
        <w:rPr>
          <w:rFonts w:ascii="Times New Roman" w:hAnsi="Times New Roman"/>
          <w:b w:val="false"/>
          <w:i w:val="false"/>
          <w:color w:val="000000"/>
          <w:sz w:val="22"/>
        </w:rPr>
        <w:t>Canal construction—general contractors</w:t>
      </w:r>
    </w:p>
    <w:p>
      <w:pPr>
        <w:spacing w:before="0" w:after="0"/>
        <w:ind w:left="120"/>
        <w:jc w:val="both"/>
      </w:pPr>
      <w:r>
        <w:rPr>
          <w:rFonts w:ascii="Times New Roman" w:hAnsi="Times New Roman"/>
          <w:b w:val="false"/>
          <w:i w:val="false"/>
          <w:color w:val="000000"/>
          <w:sz w:val="22"/>
        </w:rPr>
        <w:t>Channel construction—general contractors</w:t>
      </w:r>
    </w:p>
    <w:p>
      <w:pPr>
        <w:spacing w:before="0" w:after="0"/>
        <w:ind w:left="120"/>
        <w:jc w:val="both"/>
      </w:pPr>
      <w:r>
        <w:rPr>
          <w:rFonts w:ascii="Times New Roman" w:hAnsi="Times New Roman"/>
          <w:b w:val="false"/>
          <w:i w:val="false"/>
          <w:color w:val="000000"/>
          <w:sz w:val="22"/>
        </w:rPr>
        <w:t>Channel cutoff construction—general contractors</w:t>
      </w:r>
    </w:p>
    <w:p>
      <w:pPr>
        <w:spacing w:before="0" w:after="0"/>
        <w:ind w:left="120"/>
        <w:jc w:val="both"/>
      </w:pPr>
      <w:r>
        <w:rPr>
          <w:rFonts w:ascii="Times New Roman" w:hAnsi="Times New Roman"/>
          <w:b w:val="false"/>
          <w:i w:val="false"/>
          <w:color w:val="000000"/>
          <w:sz w:val="22"/>
        </w:rPr>
        <w:t>Clearing of land—general contractors</w:t>
      </w:r>
    </w:p>
    <w:p>
      <w:pPr>
        <w:spacing w:before="0" w:after="0"/>
        <w:ind w:left="120"/>
        <w:jc w:val="both"/>
      </w:pPr>
      <w:r>
        <w:rPr>
          <w:rFonts w:ascii="Times New Roman" w:hAnsi="Times New Roman"/>
          <w:b w:val="false"/>
          <w:i w:val="false"/>
          <w:color w:val="000000"/>
          <w:sz w:val="22"/>
        </w:rPr>
        <w:t>Cofferdam construction—general contractors</w:t>
      </w:r>
    </w:p>
    <w:p>
      <w:pPr>
        <w:spacing w:before="0" w:after="0"/>
        <w:ind w:left="120"/>
        <w:jc w:val="both"/>
      </w:pPr>
      <w:r>
        <w:rPr>
          <w:rFonts w:ascii="Times New Roman" w:hAnsi="Times New Roman"/>
          <w:b w:val="false"/>
          <w:i w:val="false"/>
          <w:color w:val="000000"/>
          <w:sz w:val="22"/>
        </w:rPr>
        <w:t>Cutting right-of-way—general contractors</w:t>
      </w:r>
    </w:p>
    <w:p>
      <w:pPr>
        <w:spacing w:before="0" w:after="0"/>
        <w:ind w:left="120"/>
        <w:jc w:val="both"/>
      </w:pPr>
      <w:r>
        <w:rPr>
          <w:rFonts w:ascii="Times New Roman" w:hAnsi="Times New Roman"/>
          <w:b w:val="false"/>
          <w:i w:val="false"/>
          <w:color w:val="000000"/>
          <w:sz w:val="22"/>
        </w:rPr>
        <w:t>Dam construction—general contractors</w:t>
      </w:r>
    </w:p>
    <w:p>
      <w:pPr>
        <w:spacing w:before="0" w:after="0"/>
        <w:ind w:left="120"/>
        <w:jc w:val="both"/>
      </w:pPr>
      <w:r>
        <w:rPr>
          <w:rFonts w:ascii="Times New Roman" w:hAnsi="Times New Roman"/>
          <w:b w:val="false"/>
          <w:i w:val="false"/>
          <w:color w:val="000000"/>
          <w:sz w:val="22"/>
        </w:rPr>
        <w:t>Dike construction—general contractors</w:t>
      </w:r>
    </w:p>
    <w:p>
      <w:pPr>
        <w:spacing w:before="0" w:after="0"/>
        <w:ind w:left="120"/>
        <w:jc w:val="both"/>
      </w:pPr>
      <w:r>
        <w:rPr>
          <w:rFonts w:ascii="Times New Roman" w:hAnsi="Times New Roman"/>
          <w:b w:val="false"/>
          <w:i w:val="false"/>
          <w:color w:val="000000"/>
          <w:sz w:val="22"/>
        </w:rPr>
        <w:t>Dock construction—general contractors</w:t>
      </w:r>
    </w:p>
    <w:p>
      <w:pPr>
        <w:spacing w:before="0" w:after="0"/>
        <w:ind w:left="120"/>
        <w:jc w:val="both"/>
      </w:pPr>
      <w:r>
        <w:rPr>
          <w:rFonts w:ascii="Times New Roman" w:hAnsi="Times New Roman"/>
          <w:b w:val="false"/>
          <w:i w:val="false"/>
          <w:color w:val="000000"/>
          <w:sz w:val="22"/>
        </w:rPr>
        <w:t>Drainage project construction—general contractors</w:t>
      </w:r>
    </w:p>
    <w:p>
      <w:pPr>
        <w:spacing w:before="0" w:after="0"/>
        <w:ind w:left="120"/>
        <w:jc w:val="both"/>
      </w:pPr>
      <w:r>
        <w:rPr>
          <w:rFonts w:ascii="Times New Roman" w:hAnsi="Times New Roman"/>
          <w:b w:val="false"/>
          <w:i w:val="false"/>
          <w:color w:val="000000"/>
          <w:sz w:val="22"/>
        </w:rPr>
        <w:t>Dredging—general contractors</w:t>
      </w:r>
    </w:p>
    <w:p>
      <w:pPr>
        <w:spacing w:before="0" w:after="0"/>
        <w:ind w:left="120"/>
        <w:jc w:val="both"/>
      </w:pPr>
      <w:r>
        <w:rPr>
          <w:rFonts w:ascii="Times New Roman" w:hAnsi="Times New Roman"/>
          <w:b w:val="false"/>
          <w:i w:val="false"/>
          <w:color w:val="000000"/>
          <w:sz w:val="22"/>
        </w:rPr>
        <w:t>Earthmoving, not connected with building construction—general contractors</w:t>
      </w:r>
    </w:p>
    <w:p>
      <w:pPr>
        <w:spacing w:before="0" w:after="0"/>
        <w:ind w:left="120"/>
        <w:jc w:val="both"/>
      </w:pPr>
      <w:r>
        <w:rPr>
          <w:rFonts w:ascii="Times New Roman" w:hAnsi="Times New Roman"/>
          <w:b w:val="false"/>
          <w:i w:val="false"/>
          <w:color w:val="000000"/>
          <w:sz w:val="22"/>
        </w:rPr>
        <w:t>Flood control project construction—general contractors</w:t>
      </w:r>
    </w:p>
    <w:p>
      <w:pPr>
        <w:spacing w:before="0" w:after="0"/>
        <w:ind w:left="120"/>
        <w:jc w:val="both"/>
      </w:pPr>
      <w:r>
        <w:rPr>
          <w:rFonts w:ascii="Times New Roman" w:hAnsi="Times New Roman"/>
          <w:b w:val="false"/>
          <w:i w:val="false"/>
          <w:color w:val="000000"/>
          <w:sz w:val="22"/>
        </w:rPr>
        <w:t>Golf course construction—general contractors</w:t>
      </w:r>
    </w:p>
    <w:p>
      <w:pPr>
        <w:spacing w:before="0" w:after="0"/>
        <w:ind w:left="120"/>
        <w:jc w:val="both"/>
      </w:pPr>
      <w:r>
        <w:rPr>
          <w:rFonts w:ascii="Times New Roman" w:hAnsi="Times New Roman"/>
          <w:b w:val="false"/>
          <w:i w:val="false"/>
          <w:color w:val="000000"/>
          <w:sz w:val="22"/>
        </w:rPr>
        <w:t>Harbor construction—general contractors</w:t>
      </w:r>
    </w:p>
    <w:p>
      <w:pPr>
        <w:spacing w:before="0" w:after="0"/>
        <w:ind w:left="120"/>
        <w:jc w:val="both"/>
      </w:pPr>
      <w:r>
        <w:rPr>
          <w:rFonts w:ascii="Times New Roman" w:hAnsi="Times New Roman"/>
          <w:b w:val="false"/>
          <w:i w:val="false"/>
          <w:color w:val="000000"/>
          <w:sz w:val="22"/>
        </w:rPr>
        <w:t>Heavy equipment rental with an operator—contractors</w:t>
      </w:r>
    </w:p>
    <w:p>
      <w:pPr>
        <w:spacing w:before="0" w:after="0"/>
        <w:ind w:left="120"/>
        <w:jc w:val="both"/>
      </w:pPr>
      <w:r>
        <w:rPr>
          <w:rFonts w:ascii="Times New Roman" w:hAnsi="Times New Roman"/>
          <w:b w:val="false"/>
          <w:i w:val="false"/>
          <w:color w:val="000000"/>
          <w:sz w:val="22"/>
        </w:rPr>
        <w:t>Hydroelectric plant construction—general contractors</w:t>
      </w:r>
    </w:p>
    <w:p>
      <w:pPr>
        <w:spacing w:before="0" w:after="0"/>
        <w:ind w:left="120"/>
        <w:jc w:val="both"/>
      </w:pPr>
      <w:r>
        <w:rPr>
          <w:rFonts w:ascii="Times New Roman" w:hAnsi="Times New Roman"/>
          <w:b w:val="false"/>
          <w:i w:val="false"/>
          <w:color w:val="000000"/>
          <w:sz w:val="22"/>
        </w:rPr>
        <w:t>Irrigation projects, construction—general contractors</w:t>
      </w:r>
    </w:p>
    <w:p>
      <w:pPr>
        <w:spacing w:before="0" w:after="0"/>
        <w:ind w:left="120"/>
        <w:jc w:val="both"/>
      </w:pPr>
      <w:r>
        <w:rPr>
          <w:rFonts w:ascii="Times New Roman" w:hAnsi="Times New Roman"/>
          <w:b w:val="false"/>
          <w:i w:val="false"/>
          <w:color w:val="000000"/>
          <w:sz w:val="22"/>
        </w:rPr>
        <w:t>Jetty construction—general contractors</w:t>
      </w:r>
    </w:p>
    <w:p>
      <w:pPr>
        <w:spacing w:before="0" w:after="0"/>
        <w:ind w:left="120"/>
        <w:jc w:val="both"/>
      </w:pPr>
      <w:r>
        <w:rPr>
          <w:rFonts w:ascii="Times New Roman" w:hAnsi="Times New Roman"/>
          <w:b w:val="false"/>
          <w:i w:val="false"/>
          <w:color w:val="000000"/>
          <w:sz w:val="22"/>
        </w:rPr>
        <w:t>Land clearing—contractors</w:t>
      </w:r>
    </w:p>
    <w:p>
      <w:pPr>
        <w:spacing w:before="0" w:after="0"/>
        <w:ind w:left="120"/>
        <w:jc w:val="both"/>
      </w:pPr>
      <w:r>
        <w:rPr>
          <w:rFonts w:ascii="Times New Roman" w:hAnsi="Times New Roman"/>
          <w:b w:val="false"/>
          <w:i w:val="false"/>
          <w:color w:val="000000"/>
          <w:sz w:val="22"/>
        </w:rPr>
        <w:t>Land drainage—contractors</w:t>
      </w:r>
    </w:p>
    <w:p>
      <w:pPr>
        <w:spacing w:before="0" w:after="0"/>
        <w:ind w:left="120"/>
        <w:jc w:val="both"/>
      </w:pPr>
      <w:r>
        <w:rPr>
          <w:rFonts w:ascii="Times New Roman" w:hAnsi="Times New Roman"/>
          <w:b w:val="false"/>
          <w:i w:val="false"/>
          <w:color w:val="000000"/>
          <w:sz w:val="22"/>
        </w:rPr>
        <w:t>Land leveling (irrigation)—contractors</w:t>
      </w:r>
    </w:p>
    <w:p>
      <w:pPr>
        <w:spacing w:before="0" w:after="0"/>
        <w:ind w:left="120"/>
        <w:jc w:val="both"/>
      </w:pPr>
      <w:r>
        <w:rPr>
          <w:rFonts w:ascii="Times New Roman" w:hAnsi="Times New Roman"/>
          <w:b w:val="false"/>
          <w:i w:val="false"/>
          <w:color w:val="000000"/>
          <w:sz w:val="22"/>
        </w:rPr>
        <w:t>Land reclamation—contractors</w:t>
      </w:r>
    </w:p>
    <w:p>
      <w:pPr>
        <w:spacing w:before="0" w:after="0"/>
        <w:ind w:left="120"/>
        <w:jc w:val="both"/>
      </w:pPr>
      <w:r>
        <w:rPr>
          <w:rFonts w:ascii="Times New Roman" w:hAnsi="Times New Roman"/>
          <w:b w:val="false"/>
          <w:i w:val="false"/>
          <w:color w:val="000000"/>
          <w:sz w:val="22"/>
        </w:rPr>
        <w:t>Levee construction—general contractors</w:t>
      </w:r>
    </w:p>
    <w:p>
      <w:pPr>
        <w:spacing w:before="0" w:after="0"/>
        <w:ind w:left="120"/>
        <w:jc w:val="both"/>
      </w:pPr>
      <w:r>
        <w:rPr>
          <w:rFonts w:ascii="Times New Roman" w:hAnsi="Times New Roman"/>
          <w:b w:val="false"/>
          <w:i w:val="false"/>
          <w:color w:val="000000"/>
          <w:sz w:val="22"/>
        </w:rPr>
        <w:t>Lock and waterway construction—general contractors</w:t>
      </w:r>
    </w:p>
    <w:p>
      <w:pPr>
        <w:spacing w:before="0" w:after="0"/>
        <w:ind w:left="120"/>
        <w:jc w:val="both"/>
      </w:pPr>
      <w:r>
        <w:rPr>
          <w:rFonts w:ascii="Times New Roman" w:hAnsi="Times New Roman"/>
          <w:b w:val="false"/>
          <w:i w:val="false"/>
          <w:color w:val="000000"/>
          <w:sz w:val="22"/>
        </w:rPr>
        <w:t>Marine construction—general contractors</w:t>
      </w:r>
    </w:p>
    <w:p>
      <w:pPr>
        <w:spacing w:before="0" w:after="0"/>
        <w:ind w:left="120"/>
        <w:jc w:val="both"/>
      </w:pPr>
      <w:r>
        <w:rPr>
          <w:rFonts w:ascii="Times New Roman" w:hAnsi="Times New Roman"/>
          <w:b w:val="false"/>
          <w:i w:val="false"/>
          <w:color w:val="000000"/>
          <w:sz w:val="22"/>
        </w:rPr>
        <w:t>Missile facilities construction—general contractors</w:t>
      </w:r>
    </w:p>
    <w:p>
      <w:pPr>
        <w:spacing w:before="0" w:after="0"/>
        <w:ind w:left="120"/>
        <w:jc w:val="both"/>
      </w:pPr>
      <w:r>
        <w:rPr>
          <w:rFonts w:ascii="Times New Roman" w:hAnsi="Times New Roman"/>
          <w:b w:val="false"/>
          <w:i w:val="false"/>
          <w:color w:val="000000"/>
          <w:sz w:val="22"/>
        </w:rPr>
        <w:t>Pier construction—general contractors</w:t>
      </w:r>
    </w:p>
    <w:p>
      <w:pPr>
        <w:spacing w:before="0" w:after="0"/>
        <w:ind w:left="120"/>
        <w:jc w:val="both"/>
      </w:pPr>
      <w:r>
        <w:rPr>
          <w:rFonts w:ascii="Times New Roman" w:hAnsi="Times New Roman"/>
          <w:b w:val="false"/>
          <w:i w:val="false"/>
          <w:color w:val="000000"/>
          <w:sz w:val="22"/>
        </w:rPr>
        <w:t>Pile driving—general contractors</w:t>
      </w:r>
    </w:p>
    <w:p>
      <w:pPr>
        <w:spacing w:before="0" w:after="0"/>
        <w:ind w:left="120"/>
        <w:jc w:val="both"/>
      </w:pPr>
      <w:r>
        <w:rPr>
          <w:rFonts w:ascii="Times New Roman" w:hAnsi="Times New Roman"/>
          <w:b w:val="false"/>
          <w:i w:val="false"/>
          <w:color w:val="000000"/>
          <w:sz w:val="22"/>
        </w:rPr>
        <w:t>Pond construction—general contractors</w:t>
      </w:r>
    </w:p>
    <w:p>
      <w:pPr>
        <w:spacing w:before="0" w:after="0"/>
        <w:ind w:left="120"/>
        <w:jc w:val="both"/>
      </w:pPr>
      <w:r>
        <w:rPr>
          <w:rFonts w:ascii="Times New Roman" w:hAnsi="Times New Roman"/>
          <w:b w:val="false"/>
          <w:i w:val="false"/>
          <w:color w:val="000000"/>
          <w:sz w:val="22"/>
        </w:rPr>
        <w:t>Railroad construction—general contractors</w:t>
      </w:r>
    </w:p>
    <w:p>
      <w:pPr>
        <w:spacing w:before="0" w:after="0"/>
        <w:ind w:left="120"/>
        <w:jc w:val="both"/>
      </w:pPr>
      <w:r>
        <w:rPr>
          <w:rFonts w:ascii="Times New Roman" w:hAnsi="Times New Roman"/>
          <w:b w:val="false"/>
          <w:i w:val="false"/>
          <w:color w:val="000000"/>
          <w:sz w:val="22"/>
        </w:rPr>
        <w:t>Railway roadbed construction—general contractors</w:t>
      </w:r>
    </w:p>
    <w:p>
      <w:pPr>
        <w:spacing w:before="0" w:after="0"/>
        <w:ind w:left="120"/>
        <w:jc w:val="both"/>
      </w:pPr>
      <w:r>
        <w:rPr>
          <w:rFonts w:ascii="Times New Roman" w:hAnsi="Times New Roman"/>
          <w:b w:val="false"/>
          <w:i w:val="false"/>
          <w:color w:val="000000"/>
          <w:sz w:val="22"/>
        </w:rPr>
        <w:t>Reclamation projects construction—general contractors</w:t>
      </w:r>
    </w:p>
    <w:p>
      <w:pPr>
        <w:spacing w:before="0" w:after="0"/>
        <w:ind w:left="120"/>
        <w:jc w:val="both"/>
      </w:pPr>
      <w:r>
        <w:rPr>
          <w:rFonts w:ascii="Times New Roman" w:hAnsi="Times New Roman"/>
          <w:b w:val="false"/>
          <w:i w:val="false"/>
          <w:color w:val="000000"/>
          <w:sz w:val="22"/>
        </w:rPr>
        <w:t>Reservoir construction—general contractors</w:t>
      </w:r>
    </w:p>
    <w:p>
      <w:pPr>
        <w:spacing w:before="0" w:after="0"/>
        <w:ind w:left="120"/>
        <w:jc w:val="both"/>
      </w:pPr>
      <w:r>
        <w:rPr>
          <w:rFonts w:ascii="Times New Roman" w:hAnsi="Times New Roman"/>
          <w:b w:val="false"/>
          <w:i w:val="false"/>
          <w:color w:val="000000"/>
          <w:sz w:val="22"/>
        </w:rPr>
        <w:t>Revetment construction—general contractors</w:t>
      </w:r>
    </w:p>
    <w:p>
      <w:pPr>
        <w:spacing w:before="0" w:after="0"/>
        <w:ind w:left="120"/>
        <w:jc w:val="both"/>
      </w:pPr>
      <w:r>
        <w:rPr>
          <w:rFonts w:ascii="Times New Roman" w:hAnsi="Times New Roman"/>
          <w:b w:val="false"/>
          <w:i w:val="false"/>
          <w:color w:val="000000"/>
          <w:sz w:val="22"/>
        </w:rPr>
        <w:t>Rock removal-underwater—contractors</w:t>
      </w:r>
    </w:p>
    <w:p>
      <w:pPr>
        <w:spacing w:before="0" w:after="0"/>
        <w:ind w:left="120"/>
        <w:jc w:val="both"/>
      </w:pPr>
      <w:r>
        <w:rPr>
          <w:rFonts w:ascii="Times New Roman" w:hAnsi="Times New Roman"/>
          <w:b w:val="false"/>
          <w:i w:val="false"/>
          <w:color w:val="000000"/>
          <w:sz w:val="22"/>
        </w:rPr>
        <w:t>Sewage treatment plant construction—general contractors</w:t>
      </w:r>
    </w:p>
    <w:p>
      <w:pPr>
        <w:spacing w:before="0" w:after="0"/>
        <w:ind w:left="120"/>
        <w:jc w:val="both"/>
      </w:pPr>
      <w:r>
        <w:rPr>
          <w:rFonts w:ascii="Times New Roman" w:hAnsi="Times New Roman"/>
          <w:b w:val="false"/>
          <w:i w:val="false"/>
          <w:color w:val="000000"/>
          <w:sz w:val="22"/>
        </w:rPr>
        <w:t>Ski tow erection—general contractors</w:t>
      </w:r>
    </w:p>
    <w:p>
      <w:pPr>
        <w:spacing w:before="0" w:after="0"/>
        <w:ind w:left="120"/>
        <w:jc w:val="both"/>
      </w:pPr>
      <w:r>
        <w:rPr>
          <w:rFonts w:ascii="Times New Roman" w:hAnsi="Times New Roman"/>
          <w:b w:val="false"/>
          <w:i w:val="false"/>
          <w:color w:val="000000"/>
          <w:sz w:val="22"/>
        </w:rPr>
        <w:t>Soil compacting service—contractors</w:t>
      </w:r>
    </w:p>
    <w:p>
      <w:pPr>
        <w:spacing w:before="0" w:after="0"/>
        <w:ind w:left="120"/>
        <w:jc w:val="both"/>
      </w:pPr>
      <w:r>
        <w:rPr>
          <w:rFonts w:ascii="Times New Roman" w:hAnsi="Times New Roman"/>
          <w:b w:val="false"/>
          <w:i w:val="false"/>
          <w:color w:val="000000"/>
          <w:sz w:val="22"/>
        </w:rPr>
        <w:t>Submarine rock-removal—general contractors</w:t>
      </w:r>
    </w:p>
    <w:p>
      <w:pPr>
        <w:spacing w:before="0" w:after="0"/>
        <w:ind w:left="120"/>
        <w:jc w:val="both"/>
      </w:pPr>
      <w:r>
        <w:rPr>
          <w:rFonts w:ascii="Times New Roman" w:hAnsi="Times New Roman"/>
          <w:b w:val="false"/>
          <w:i w:val="false"/>
          <w:color w:val="000000"/>
          <w:sz w:val="22"/>
        </w:rPr>
        <w:t>Subway construction—general contractors</w:t>
      </w:r>
    </w:p>
    <w:p>
      <w:pPr>
        <w:spacing w:before="0" w:after="0"/>
        <w:ind w:left="120"/>
        <w:jc w:val="both"/>
      </w:pPr>
      <w:r>
        <w:rPr>
          <w:rFonts w:ascii="Times New Roman" w:hAnsi="Times New Roman"/>
          <w:b w:val="false"/>
          <w:i w:val="false"/>
          <w:color w:val="000000"/>
          <w:sz w:val="22"/>
        </w:rPr>
        <w:t>Tennis court construction, outdoor—general contractors</w:t>
      </w:r>
    </w:p>
    <w:p>
      <w:pPr>
        <w:spacing w:before="0" w:after="0"/>
        <w:ind w:left="120"/>
        <w:jc w:val="both"/>
      </w:pPr>
      <w:r>
        <w:rPr>
          <w:rFonts w:ascii="Times New Roman" w:hAnsi="Times New Roman"/>
          <w:b w:val="false"/>
          <w:i w:val="false"/>
          <w:color w:val="000000"/>
          <w:sz w:val="22"/>
        </w:rPr>
        <w:t>Timber removal-underwater—contractors</w:t>
      </w:r>
    </w:p>
    <w:p>
      <w:pPr>
        <w:spacing w:before="0" w:after="0"/>
        <w:ind w:left="120"/>
        <w:jc w:val="both"/>
      </w:pPr>
      <w:r>
        <w:rPr>
          <w:rFonts w:ascii="Times New Roman" w:hAnsi="Times New Roman"/>
          <w:b w:val="false"/>
          <w:i w:val="false"/>
          <w:color w:val="000000"/>
          <w:sz w:val="22"/>
        </w:rPr>
        <w:t>Trail building—general contractors</w:t>
      </w:r>
    </w:p>
    <w:p>
      <w:pPr>
        <w:spacing w:before="0" w:after="0"/>
        <w:ind w:left="120"/>
        <w:jc w:val="both"/>
      </w:pPr>
      <w:r>
        <w:rPr>
          <w:rFonts w:ascii="Times New Roman" w:hAnsi="Times New Roman"/>
          <w:b w:val="false"/>
          <w:i w:val="false"/>
          <w:color w:val="000000"/>
          <w:sz w:val="22"/>
        </w:rPr>
        <w:t>Trailer camp construction—general contractors</w:t>
      </w:r>
    </w:p>
    <w:p>
      <w:pPr>
        <w:spacing w:before="0" w:after="0"/>
        <w:ind w:left="120"/>
        <w:jc w:val="both"/>
      </w:pPr>
      <w:r>
        <w:rPr>
          <w:rFonts w:ascii="Times New Roman" w:hAnsi="Times New Roman"/>
          <w:b w:val="false"/>
          <w:i w:val="false"/>
          <w:color w:val="000000"/>
          <w:sz w:val="22"/>
        </w:rPr>
        <w:t>Trenching—contractors</w:t>
      </w:r>
    </w:p>
    <w:p>
      <w:pPr>
        <w:spacing w:before="0" w:after="0"/>
        <w:ind w:left="120"/>
        <w:jc w:val="both"/>
      </w:pPr>
      <w:r>
        <w:rPr>
          <w:rFonts w:ascii="Times New Roman" w:hAnsi="Times New Roman"/>
          <w:b w:val="false"/>
          <w:i w:val="false"/>
          <w:color w:val="000000"/>
          <w:sz w:val="22"/>
        </w:rPr>
        <w:t>Waste disposal plant construction—general contractors</w:t>
      </w:r>
    </w:p>
    <w:p>
      <w:pPr>
        <w:spacing w:before="0" w:after="0"/>
        <w:ind w:left="120"/>
        <w:jc w:val="both"/>
      </w:pPr>
      <w:r>
        <w:rPr>
          <w:rFonts w:ascii="Times New Roman" w:hAnsi="Times New Roman"/>
          <w:b w:val="false"/>
          <w:i w:val="false"/>
          <w:color w:val="000000"/>
          <w:sz w:val="22"/>
        </w:rPr>
        <w:t>Water power project construction—general contractors</w:t>
      </w:r>
    </w:p>
    <w:p>
      <w:pPr>
        <w:spacing w:before="0" w:after="0"/>
        <w:ind w:left="120"/>
        <w:jc w:val="both"/>
      </w:pPr>
      <w:r>
        <w:rPr>
          <w:rFonts w:ascii="Times New Roman" w:hAnsi="Times New Roman"/>
          <w:b w:val="false"/>
          <w:i w:val="false"/>
          <w:color w:val="000000"/>
          <w:sz w:val="22"/>
        </w:rPr>
        <w:t>Water treatment plant construction—general contractors</w:t>
      </w:r>
    </w:p>
    <w:p>
      <w:pPr>
        <w:spacing w:before="0" w:after="0"/>
        <w:ind w:left="120"/>
        <w:jc w:val="both"/>
      </w:pPr>
      <w:r>
        <w:rPr>
          <w:rFonts w:ascii="Times New Roman" w:hAnsi="Times New Roman"/>
          <w:b w:val="false"/>
          <w:i w:val="false"/>
          <w:color w:val="000000"/>
          <w:sz w:val="22"/>
        </w:rPr>
        <w:t>Waterway construction—general contractors</w:t>
      </w:r>
    </w:p>
    <w:p>
      <w:pPr>
        <w:spacing w:before="0" w:after="0"/>
        <w:ind w:left="120"/>
        <w:jc w:val="both"/>
      </w:pPr>
      <w:r>
        <w:rPr>
          <w:rFonts w:ascii="Times New Roman" w:hAnsi="Times New Roman"/>
          <w:b w:val="false"/>
          <w:i w:val="false"/>
          <w:color w:val="000000"/>
          <w:sz w:val="22"/>
        </w:rPr>
        <w:t>Wharf construction—general 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Plumbing, heating and air-conditioning contractors. </w:t>
      </w:r>
      <w:r>
        <w:rPr>
          <w:rFonts w:ascii="Times New Roman" w:hAnsi="Times New Roman"/>
          <w:b w:val="false"/>
          <w:i w:val="false"/>
          <w:color w:val="000000"/>
          <w:sz w:val="22"/>
        </w:rPr>
        <w:t>Establishments primarily engaged in one or more of the following: (1) installing plumbing, heating, and air-conditioning equipment; (2) servicing plumbing, heating, and air-conditioning equipment; and (3) the combined activity of selling and installing plumbing, heating, and air-conditioning equipment. The plumbing, heating, and air-conditioning work performed includes new work, additions, alterations, and maintenance and repairs.</w:t>
      </w:r>
    </w:p>
    <w:p>
      <w:pPr>
        <w:spacing w:before="0" w:after="0"/>
        <w:ind w:left="120"/>
        <w:jc w:val="both"/>
      </w:pPr>
      <w:r>
        <w:rPr>
          <w:rFonts w:ascii="Times New Roman" w:hAnsi="Times New Roman"/>
          <w:b w:val="false"/>
          <w:i w:val="false"/>
          <w:color w:val="000000"/>
          <w:sz w:val="22"/>
        </w:rPr>
        <w:t>Air system balancing and testing—contractors</w:t>
      </w:r>
    </w:p>
    <w:p>
      <w:pPr>
        <w:spacing w:before="0" w:after="0"/>
        <w:ind w:left="120"/>
        <w:jc w:val="both"/>
      </w:pPr>
      <w:r>
        <w:rPr>
          <w:rFonts w:ascii="Times New Roman" w:hAnsi="Times New Roman"/>
          <w:b w:val="false"/>
          <w:i w:val="false"/>
          <w:color w:val="000000"/>
          <w:sz w:val="22"/>
        </w:rPr>
        <w:t>Air-conditioning, with or without sheet metal work—contractors</w:t>
      </w:r>
    </w:p>
    <w:p>
      <w:pPr>
        <w:spacing w:before="0" w:after="0"/>
        <w:ind w:left="120"/>
        <w:jc w:val="both"/>
      </w:pPr>
      <w:r>
        <w:rPr>
          <w:rFonts w:ascii="Times New Roman" w:hAnsi="Times New Roman"/>
          <w:b w:val="false"/>
          <w:i w:val="false"/>
          <w:color w:val="000000"/>
          <w:sz w:val="22"/>
        </w:rPr>
        <w:t>Boiler cleaning—contractors</w:t>
      </w:r>
    </w:p>
    <w:p>
      <w:pPr>
        <w:spacing w:before="0" w:after="0"/>
        <w:ind w:left="120"/>
        <w:jc w:val="both"/>
      </w:pPr>
      <w:r>
        <w:rPr>
          <w:rFonts w:ascii="Times New Roman" w:hAnsi="Times New Roman"/>
          <w:b w:val="false"/>
          <w:i w:val="false"/>
          <w:color w:val="000000"/>
          <w:sz w:val="22"/>
        </w:rPr>
        <w:t>Boiler erection and installation—contractors</w:t>
      </w:r>
    </w:p>
    <w:p>
      <w:pPr>
        <w:spacing w:before="0" w:after="0"/>
        <w:ind w:left="120"/>
        <w:jc w:val="both"/>
      </w:pPr>
      <w:r>
        <w:rPr>
          <w:rFonts w:ascii="Times New Roman" w:hAnsi="Times New Roman"/>
          <w:b w:val="false"/>
          <w:i w:val="false"/>
          <w:color w:val="000000"/>
          <w:sz w:val="22"/>
        </w:rPr>
        <w:t>Drainage system installation (cesspool and septic tank)—contractors</w:t>
      </w:r>
    </w:p>
    <w:p>
      <w:pPr>
        <w:spacing w:before="0" w:after="0"/>
        <w:ind w:left="120"/>
        <w:jc w:val="both"/>
      </w:pPr>
      <w:r>
        <w:rPr>
          <w:rFonts w:ascii="Times New Roman" w:hAnsi="Times New Roman"/>
          <w:b w:val="false"/>
          <w:i w:val="false"/>
          <w:color w:val="000000"/>
          <w:sz w:val="22"/>
        </w:rPr>
        <w:t>Dry well (cesspool) construction—contractors</w:t>
      </w:r>
    </w:p>
    <w:p>
      <w:pPr>
        <w:spacing w:before="0" w:after="0"/>
        <w:ind w:left="120"/>
        <w:jc w:val="both"/>
      </w:pPr>
      <w:r>
        <w:rPr>
          <w:rFonts w:ascii="Times New Roman" w:hAnsi="Times New Roman"/>
          <w:b w:val="false"/>
          <w:i w:val="false"/>
          <w:color w:val="000000"/>
          <w:sz w:val="22"/>
        </w:rPr>
        <w:t>Fuel oil burner installation and servicing—contractors</w:t>
      </w:r>
    </w:p>
    <w:p>
      <w:pPr>
        <w:spacing w:before="0" w:after="0"/>
        <w:ind w:left="120"/>
        <w:jc w:val="both"/>
      </w:pPr>
      <w:r>
        <w:rPr>
          <w:rFonts w:ascii="Times New Roman" w:hAnsi="Times New Roman"/>
          <w:b w:val="false"/>
          <w:i w:val="false"/>
          <w:color w:val="000000"/>
          <w:sz w:val="22"/>
        </w:rPr>
        <w:t>Furnace repair—contractors</w:t>
      </w:r>
    </w:p>
    <w:p>
      <w:pPr>
        <w:spacing w:before="0" w:after="0"/>
        <w:ind w:left="120"/>
        <w:jc w:val="both"/>
      </w:pPr>
      <w:r>
        <w:rPr>
          <w:rFonts w:ascii="Times New Roman" w:hAnsi="Times New Roman"/>
          <w:b w:val="false"/>
          <w:i w:val="false"/>
          <w:color w:val="000000"/>
          <w:sz w:val="22"/>
        </w:rPr>
        <w:t>Gasline hookup—contractors</w:t>
      </w:r>
    </w:p>
    <w:p>
      <w:pPr>
        <w:spacing w:before="0" w:after="0"/>
        <w:ind w:left="120"/>
        <w:jc w:val="both"/>
      </w:pPr>
      <w:r>
        <w:rPr>
          <w:rFonts w:ascii="Times New Roman" w:hAnsi="Times New Roman"/>
          <w:b w:val="false"/>
          <w:i w:val="false"/>
          <w:color w:val="000000"/>
          <w:sz w:val="22"/>
        </w:rPr>
        <w:t>Heating equipment installation—contractors</w:t>
      </w:r>
    </w:p>
    <w:p>
      <w:pPr>
        <w:spacing w:before="0" w:after="0"/>
        <w:ind w:left="120"/>
        <w:jc w:val="both"/>
      </w:pPr>
      <w:r>
        <w:rPr>
          <w:rFonts w:ascii="Times New Roman" w:hAnsi="Times New Roman"/>
          <w:b w:val="false"/>
          <w:i w:val="false"/>
          <w:color w:val="000000"/>
          <w:sz w:val="22"/>
        </w:rPr>
        <w:t>Heating, with or without sheet metal work—contractors</w:t>
      </w:r>
    </w:p>
    <w:p>
      <w:pPr>
        <w:spacing w:before="0" w:after="0"/>
        <w:ind w:left="120"/>
        <w:jc w:val="both"/>
      </w:pPr>
      <w:r>
        <w:rPr>
          <w:rFonts w:ascii="Times New Roman" w:hAnsi="Times New Roman"/>
          <w:b w:val="false"/>
          <w:i w:val="false"/>
          <w:color w:val="000000"/>
          <w:sz w:val="22"/>
        </w:rPr>
        <w:t>Lawn sprinkler system installation—contractors</w:t>
      </w:r>
    </w:p>
    <w:p>
      <w:pPr>
        <w:spacing w:before="0" w:after="0"/>
        <w:ind w:left="120"/>
        <w:jc w:val="both"/>
      </w:pPr>
      <w:r>
        <w:rPr>
          <w:rFonts w:ascii="Times New Roman" w:hAnsi="Times New Roman"/>
          <w:b w:val="false"/>
          <w:i w:val="false"/>
          <w:color w:val="000000"/>
          <w:sz w:val="22"/>
        </w:rPr>
        <w:t>Mechanical contractors</w:t>
      </w:r>
    </w:p>
    <w:p>
      <w:pPr>
        <w:spacing w:before="0" w:after="0"/>
        <w:ind w:left="120"/>
        <w:jc w:val="both"/>
      </w:pPr>
      <w:r>
        <w:rPr>
          <w:rFonts w:ascii="Times New Roman" w:hAnsi="Times New Roman"/>
          <w:b w:val="false"/>
          <w:i w:val="false"/>
          <w:color w:val="000000"/>
          <w:sz w:val="22"/>
        </w:rPr>
        <w:t>Piping, plumbing—contractors</w:t>
      </w:r>
    </w:p>
    <w:p>
      <w:pPr>
        <w:spacing w:before="0" w:after="0"/>
        <w:ind w:left="120"/>
        <w:jc w:val="both"/>
      </w:pPr>
      <w:r>
        <w:rPr>
          <w:rFonts w:ascii="Times New Roman" w:hAnsi="Times New Roman"/>
          <w:b w:val="false"/>
          <w:i w:val="false"/>
          <w:color w:val="000000"/>
          <w:sz w:val="22"/>
        </w:rPr>
        <w:t>Plumbing and heating—contractors</w:t>
      </w:r>
    </w:p>
    <w:p>
      <w:pPr>
        <w:spacing w:before="0" w:after="0"/>
        <w:ind w:left="120"/>
        <w:jc w:val="both"/>
      </w:pPr>
      <w:r>
        <w:rPr>
          <w:rFonts w:ascii="Times New Roman" w:hAnsi="Times New Roman"/>
          <w:b w:val="false"/>
          <w:i w:val="false"/>
          <w:color w:val="000000"/>
          <w:sz w:val="22"/>
        </w:rPr>
        <w:t>Plumbing repair—contractors</w:t>
      </w:r>
    </w:p>
    <w:p>
      <w:pPr>
        <w:spacing w:before="0" w:after="0"/>
        <w:ind w:left="120"/>
        <w:jc w:val="both"/>
      </w:pPr>
      <w:r>
        <w:rPr>
          <w:rFonts w:ascii="Times New Roman" w:hAnsi="Times New Roman"/>
          <w:b w:val="false"/>
          <w:i w:val="false"/>
          <w:color w:val="000000"/>
          <w:sz w:val="22"/>
        </w:rPr>
        <w:t>Plumbing, with or without sheet metal work—contractors</w:t>
      </w:r>
    </w:p>
    <w:p>
      <w:pPr>
        <w:spacing w:before="0" w:after="0"/>
        <w:ind w:left="120"/>
        <w:jc w:val="both"/>
      </w:pPr>
      <w:r>
        <w:rPr>
          <w:rFonts w:ascii="Times New Roman" w:hAnsi="Times New Roman"/>
          <w:b w:val="false"/>
          <w:i w:val="false"/>
          <w:color w:val="000000"/>
          <w:sz w:val="22"/>
        </w:rPr>
        <w:t>Solar heating apparatus—contractors</w:t>
      </w:r>
    </w:p>
    <w:p>
      <w:pPr>
        <w:spacing w:before="0" w:after="0"/>
        <w:ind w:left="120"/>
        <w:jc w:val="both"/>
      </w:pPr>
      <w:r>
        <w:rPr>
          <w:rFonts w:ascii="Times New Roman" w:hAnsi="Times New Roman"/>
          <w:b w:val="false"/>
          <w:i w:val="false"/>
          <w:color w:val="000000"/>
          <w:sz w:val="22"/>
        </w:rPr>
        <w:t>Sprinkler system installation—contractors</w:t>
      </w:r>
    </w:p>
    <w:p>
      <w:pPr>
        <w:spacing w:before="0" w:after="0"/>
        <w:ind w:left="120"/>
        <w:jc w:val="both"/>
      </w:pPr>
      <w:r>
        <w:rPr>
          <w:rFonts w:ascii="Times New Roman" w:hAnsi="Times New Roman"/>
          <w:b w:val="false"/>
          <w:i w:val="false"/>
          <w:color w:val="000000"/>
          <w:sz w:val="22"/>
        </w:rPr>
        <w:t>Steam fitting—contractors</w:t>
      </w:r>
    </w:p>
    <w:p>
      <w:pPr>
        <w:spacing w:before="0" w:after="0"/>
        <w:ind w:left="120"/>
        <w:jc w:val="both"/>
      </w:pPr>
      <w:r>
        <w:rPr>
          <w:rFonts w:ascii="Times New Roman" w:hAnsi="Times New Roman"/>
          <w:b w:val="false"/>
          <w:i w:val="false"/>
          <w:color w:val="000000"/>
          <w:sz w:val="22"/>
        </w:rPr>
        <w:t>Sump pump installation and servicing—contractors</w:t>
      </w:r>
    </w:p>
    <w:p>
      <w:pPr>
        <w:spacing w:before="0" w:after="0"/>
        <w:ind w:left="120"/>
        <w:jc w:val="both"/>
      </w:pPr>
      <w:r>
        <w:rPr>
          <w:rFonts w:ascii="Times New Roman" w:hAnsi="Times New Roman"/>
          <w:b w:val="false"/>
          <w:i w:val="false"/>
          <w:color w:val="000000"/>
          <w:sz w:val="22"/>
        </w:rPr>
        <w:t>Ventilating work, with or without sheet metal work—contractors</w:t>
      </w:r>
    </w:p>
    <w:p>
      <w:pPr>
        <w:spacing w:before="0" w:after="0"/>
        <w:ind w:left="120"/>
        <w:jc w:val="both"/>
      </w:pPr>
      <w:r>
        <w:rPr>
          <w:rFonts w:ascii="Times New Roman" w:hAnsi="Times New Roman"/>
          <w:b w:val="false"/>
          <w:i w:val="false"/>
          <w:color w:val="000000"/>
          <w:sz w:val="22"/>
        </w:rPr>
        <w:t>Water pump installation and servicing—contractors</w:t>
      </w:r>
    </w:p>
    <w:p>
      <w:pPr>
        <w:spacing w:before="0" w:after="0"/>
        <w:ind w:left="120"/>
        <w:jc w:val="both"/>
      </w:pPr>
      <w:r>
        <w:rPr>
          <w:rFonts w:ascii="Times New Roman" w:hAnsi="Times New Roman"/>
          <w:b w:val="false"/>
          <w:i w:val="false"/>
          <w:color w:val="000000"/>
          <w:sz w:val="22"/>
        </w:rPr>
        <w:t>Water system balancing and testing—contractors</w:t>
      </w:r>
    </w:p>
    <w:p>
      <w:pPr>
        <w:spacing w:before="0" w:after="0"/>
        <w:ind w:left="120"/>
        <w:jc w:val="both"/>
      </w:pPr>
      <w:r>
        <w:rPr>
          <w:rFonts w:ascii="Times New Roman" w:hAnsi="Times New Roman"/>
          <w:b w:val="false"/>
          <w:i w:val="false"/>
          <w:color w:val="000000"/>
          <w:sz w:val="22"/>
        </w:rPr>
        <w:t>Work combined with heating or air-conditioning—contractors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Painting and wall covering contractors. </w:t>
      </w:r>
      <w:r>
        <w:rPr>
          <w:rFonts w:ascii="Times New Roman" w:hAnsi="Times New Roman"/>
          <w:b w:val="false"/>
          <w:i w:val="false"/>
          <w:color w:val="000000"/>
          <w:sz w:val="22"/>
        </w:rPr>
        <w:t>Establishments primarily engaged in interior or exterior painting and interior wall covering. The painting and wall covering work includes new work, additions, alterations, and maintenance and repairs.</w:t>
      </w:r>
    </w:p>
    <w:p>
      <w:pPr>
        <w:spacing w:before="0" w:after="0"/>
        <w:ind w:left="120"/>
        <w:jc w:val="both"/>
      </w:pPr>
      <w:r>
        <w:rPr>
          <w:rFonts w:ascii="Times New Roman" w:hAnsi="Times New Roman"/>
          <w:b w:val="false"/>
          <w:i w:val="false"/>
          <w:color w:val="000000"/>
          <w:sz w:val="22"/>
        </w:rPr>
        <w:t>Bridge painting—contractors</w:t>
      </w:r>
    </w:p>
    <w:p>
      <w:pPr>
        <w:spacing w:before="0" w:after="0"/>
        <w:ind w:left="120"/>
        <w:jc w:val="both"/>
      </w:pPr>
      <w:r>
        <w:rPr>
          <w:rFonts w:ascii="Times New Roman" w:hAnsi="Times New Roman"/>
          <w:b w:val="false"/>
          <w:i w:val="false"/>
          <w:color w:val="000000"/>
          <w:sz w:val="22"/>
        </w:rPr>
        <w:t>Electrostatic painting on site (including lockers and fixtures)—contractors</w:t>
      </w:r>
    </w:p>
    <w:p>
      <w:pPr>
        <w:spacing w:before="0" w:after="0"/>
        <w:ind w:left="120"/>
        <w:jc w:val="both"/>
      </w:pPr>
      <w:r>
        <w:rPr>
          <w:rFonts w:ascii="Times New Roman" w:hAnsi="Times New Roman"/>
          <w:b w:val="false"/>
          <w:i w:val="false"/>
          <w:color w:val="000000"/>
          <w:sz w:val="22"/>
        </w:rPr>
        <w:t>House painting—contractors</w:t>
      </w:r>
    </w:p>
    <w:p>
      <w:pPr>
        <w:spacing w:before="0" w:after="0"/>
        <w:ind w:left="120"/>
        <w:jc w:val="both"/>
      </w:pPr>
      <w:r>
        <w:rPr>
          <w:rFonts w:ascii="Times New Roman" w:hAnsi="Times New Roman"/>
          <w:b w:val="false"/>
          <w:i w:val="false"/>
          <w:color w:val="000000"/>
          <w:sz w:val="22"/>
        </w:rPr>
        <w:t>Painting of buildings and other structures, except roofs—contractors</w:t>
      </w:r>
    </w:p>
    <w:p>
      <w:pPr>
        <w:spacing w:before="0" w:after="0"/>
        <w:ind w:left="120"/>
        <w:jc w:val="both"/>
      </w:pPr>
      <w:r>
        <w:rPr>
          <w:rFonts w:ascii="Times New Roman" w:hAnsi="Times New Roman"/>
          <w:b w:val="false"/>
          <w:i w:val="false"/>
          <w:color w:val="000000"/>
          <w:sz w:val="22"/>
        </w:rPr>
        <w:t>Paper hanging—contractors</w:t>
      </w:r>
    </w:p>
    <w:p>
      <w:pPr>
        <w:spacing w:before="0" w:after="0"/>
        <w:ind w:left="120"/>
        <w:jc w:val="both"/>
      </w:pPr>
      <w:r>
        <w:rPr>
          <w:rFonts w:ascii="Times New Roman" w:hAnsi="Times New Roman"/>
          <w:b w:val="false"/>
          <w:i w:val="false"/>
          <w:color w:val="000000"/>
          <w:sz w:val="22"/>
        </w:rPr>
        <w:t>Ship painting—contractors</w:t>
      </w:r>
    </w:p>
    <w:p>
      <w:pPr>
        <w:spacing w:before="0" w:after="0"/>
        <w:ind w:left="120"/>
        <w:jc w:val="both"/>
      </w:pPr>
      <w:r>
        <w:rPr>
          <w:rFonts w:ascii="Times New Roman" w:hAnsi="Times New Roman"/>
          <w:b w:val="false"/>
          <w:i w:val="false"/>
          <w:color w:val="000000"/>
          <w:sz w:val="22"/>
        </w:rPr>
        <w:t>Traffic lane painting—contractors</w:t>
      </w:r>
    </w:p>
    <w:p>
      <w:pPr>
        <w:spacing w:before="0" w:after="0"/>
        <w:ind w:left="120"/>
        <w:jc w:val="both"/>
      </w:pPr>
      <w:r>
        <w:rPr>
          <w:rFonts w:ascii="Times New Roman" w:hAnsi="Times New Roman"/>
          <w:b w:val="false"/>
          <w:i w:val="false"/>
          <w:color w:val="000000"/>
          <w:sz w:val="22"/>
        </w:rPr>
        <w:t>Wallpaper removal—contractors</w:t>
      </w:r>
    </w:p>
    <w:p>
      <w:pPr>
        <w:spacing w:before="0" w:after="0"/>
        <w:ind w:left="120"/>
        <w:jc w:val="both"/>
      </w:pPr>
      <w:r>
        <w:rPr>
          <w:rFonts w:ascii="Times New Roman" w:hAnsi="Times New Roman"/>
          <w:b w:val="false"/>
          <w:i w:val="false"/>
          <w:color w:val="000000"/>
          <w:sz w:val="22"/>
        </w:rPr>
        <w:t>Whitewashing—contractors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Electrical contractors. </w:t>
      </w:r>
      <w:r>
        <w:rPr>
          <w:rFonts w:ascii="Times New Roman" w:hAnsi="Times New Roman"/>
          <w:b w:val="false"/>
          <w:i w:val="false"/>
          <w:color w:val="000000"/>
          <w:sz w:val="22"/>
        </w:rPr>
        <w:t>Establishments primarily engaged in one or more of the following: (1) performing electrical work at the site; (2) servicing electrical equipment at the site; and (3) the combined activity of selling and installing electrical equipment. The electrical work performed includes new work, additions, alterations, and maintenance and repairs.</w:t>
      </w:r>
    </w:p>
    <w:p>
      <w:pPr>
        <w:spacing w:before="0" w:after="0"/>
        <w:ind w:left="120"/>
        <w:jc w:val="both"/>
      </w:pPr>
      <w:r>
        <w:rPr>
          <w:rFonts w:ascii="Times New Roman" w:hAnsi="Times New Roman"/>
          <w:b w:val="false"/>
          <w:i w:val="false"/>
          <w:color w:val="000000"/>
          <w:sz w:val="22"/>
        </w:rPr>
        <w:t>Cable splicing, electrical—contractors</w:t>
      </w:r>
    </w:p>
    <w:p>
      <w:pPr>
        <w:spacing w:before="0" w:after="0"/>
        <w:ind w:left="120"/>
        <w:jc w:val="both"/>
      </w:pPr>
      <w:r>
        <w:rPr>
          <w:rFonts w:ascii="Times New Roman" w:hAnsi="Times New Roman"/>
          <w:b w:val="false"/>
          <w:i w:val="false"/>
          <w:color w:val="000000"/>
          <w:sz w:val="22"/>
        </w:rPr>
        <w:t>Cable television hookup—contractors</w:t>
      </w:r>
    </w:p>
    <w:p>
      <w:pPr>
        <w:spacing w:before="0" w:after="0"/>
        <w:ind w:left="120"/>
        <w:jc w:val="both"/>
      </w:pPr>
      <w:r>
        <w:rPr>
          <w:rFonts w:ascii="Times New Roman" w:hAnsi="Times New Roman"/>
          <w:b w:val="false"/>
          <w:i w:val="false"/>
          <w:color w:val="000000"/>
          <w:sz w:val="22"/>
        </w:rPr>
        <w:t>Communication equipment installation—contractors</w:t>
      </w:r>
    </w:p>
    <w:p>
      <w:pPr>
        <w:spacing w:before="0" w:after="0"/>
        <w:ind w:left="120"/>
        <w:jc w:val="both"/>
      </w:pPr>
      <w:r>
        <w:rPr>
          <w:rFonts w:ascii="Times New Roman" w:hAnsi="Times New Roman"/>
          <w:b w:val="false"/>
          <w:i w:val="false"/>
          <w:color w:val="000000"/>
          <w:sz w:val="22"/>
        </w:rPr>
        <w:t>Electric work—contractors</w:t>
      </w:r>
    </w:p>
    <w:p>
      <w:pPr>
        <w:spacing w:before="0" w:after="0"/>
        <w:ind w:left="120"/>
        <w:jc w:val="both"/>
      </w:pPr>
      <w:r>
        <w:rPr>
          <w:rFonts w:ascii="Times New Roman" w:hAnsi="Times New Roman"/>
          <w:b w:val="false"/>
          <w:i w:val="false"/>
          <w:color w:val="000000"/>
          <w:sz w:val="22"/>
        </w:rPr>
        <w:t>Electrical repair at site of construction—contractors</w:t>
      </w:r>
    </w:p>
    <w:p>
      <w:pPr>
        <w:spacing w:before="0" w:after="0"/>
        <w:ind w:left="120"/>
        <w:jc w:val="both"/>
      </w:pPr>
      <w:r>
        <w:rPr>
          <w:rFonts w:ascii="Times New Roman" w:hAnsi="Times New Roman"/>
          <w:b w:val="false"/>
          <w:i w:val="false"/>
          <w:color w:val="000000"/>
          <w:sz w:val="22"/>
        </w:rPr>
        <w:t>Electronic control system installation—contractors</w:t>
      </w:r>
    </w:p>
    <w:p>
      <w:pPr>
        <w:spacing w:before="0" w:after="0"/>
        <w:ind w:left="120"/>
        <w:jc w:val="both"/>
      </w:pPr>
      <w:r>
        <w:rPr>
          <w:rFonts w:ascii="Times New Roman" w:hAnsi="Times New Roman"/>
          <w:b w:val="false"/>
          <w:i w:val="false"/>
          <w:color w:val="000000"/>
          <w:sz w:val="22"/>
        </w:rPr>
        <w:t>Highway lighting and electrical signal construction—contractors</w:t>
      </w:r>
    </w:p>
    <w:p>
      <w:pPr>
        <w:spacing w:before="0" w:after="0"/>
        <w:ind w:left="120"/>
        <w:jc w:val="both"/>
      </w:pPr>
      <w:r>
        <w:rPr>
          <w:rFonts w:ascii="Times New Roman" w:hAnsi="Times New Roman"/>
          <w:b w:val="false"/>
          <w:i w:val="false"/>
          <w:color w:val="000000"/>
          <w:sz w:val="22"/>
        </w:rPr>
        <w:t>Intercommunication equipment installation—contractors</w:t>
      </w:r>
    </w:p>
    <w:p>
      <w:pPr>
        <w:spacing w:before="0" w:after="0"/>
        <w:ind w:left="120"/>
        <w:jc w:val="both"/>
      </w:pPr>
      <w:r>
        <w:rPr>
          <w:rFonts w:ascii="Times New Roman" w:hAnsi="Times New Roman"/>
          <w:b w:val="false"/>
          <w:i w:val="false"/>
          <w:color w:val="000000"/>
          <w:sz w:val="22"/>
        </w:rPr>
        <w:t>Sound equipment installation—contractors</w:t>
      </w:r>
    </w:p>
    <w:p>
      <w:pPr>
        <w:spacing w:before="0" w:after="0"/>
        <w:ind w:left="120"/>
        <w:jc w:val="both"/>
      </w:pPr>
      <w:r>
        <w:rPr>
          <w:rFonts w:ascii="Times New Roman" w:hAnsi="Times New Roman"/>
          <w:b w:val="false"/>
          <w:i w:val="false"/>
          <w:color w:val="000000"/>
          <w:sz w:val="22"/>
        </w:rPr>
        <w:t>Telecommunications equipment installation—contractors</w:t>
      </w:r>
    </w:p>
    <w:p>
      <w:pPr>
        <w:spacing w:before="0" w:after="0"/>
        <w:ind w:left="120"/>
        <w:jc w:val="both"/>
      </w:pPr>
      <w:r>
        <w:rPr>
          <w:rFonts w:ascii="Times New Roman" w:hAnsi="Times New Roman"/>
          <w:b w:val="false"/>
          <w:i w:val="false"/>
          <w:color w:val="000000"/>
          <w:sz w:val="22"/>
        </w:rPr>
        <w:t>Telephone and telephone equipment installation—contractors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Masonry, stone work, tile setting and plastering.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Masonry and stone contractors. Establishments primarily engaged in masonry work, stone setting, and other stone work. The masonry work, stone setting and other stone work performed includes new work, additions, alterations, and maintenance and repairs.</w:t>
      </w:r>
    </w:p>
    <w:p>
      <w:pPr>
        <w:spacing w:before="0" w:after="0"/>
        <w:ind w:left="120"/>
        <w:jc w:val="both"/>
      </w:pPr>
      <w:r>
        <w:rPr>
          <w:rFonts w:ascii="Times New Roman" w:hAnsi="Times New Roman"/>
          <w:b w:val="false"/>
          <w:i w:val="false"/>
          <w:color w:val="000000"/>
          <w:sz w:val="22"/>
        </w:rPr>
        <w:t>Bricklaying—contractors</w:t>
      </w:r>
    </w:p>
    <w:p>
      <w:pPr>
        <w:spacing w:before="0" w:after="0"/>
        <w:ind w:left="120"/>
        <w:jc w:val="both"/>
      </w:pPr>
      <w:r>
        <w:rPr>
          <w:rFonts w:ascii="Times New Roman" w:hAnsi="Times New Roman"/>
          <w:b w:val="false"/>
          <w:i w:val="false"/>
          <w:color w:val="000000"/>
          <w:sz w:val="22"/>
        </w:rPr>
        <w:t>Cement block laying—contractors</w:t>
      </w:r>
    </w:p>
    <w:p>
      <w:pPr>
        <w:spacing w:before="0" w:after="0"/>
        <w:ind w:left="120"/>
        <w:jc w:val="both"/>
      </w:pPr>
      <w:r>
        <w:rPr>
          <w:rFonts w:ascii="Times New Roman" w:hAnsi="Times New Roman"/>
          <w:b w:val="false"/>
          <w:i w:val="false"/>
          <w:color w:val="000000"/>
          <w:sz w:val="22"/>
        </w:rPr>
        <w:t>Chimney construction and maintenance—contractors</w:t>
      </w:r>
    </w:p>
    <w:p>
      <w:pPr>
        <w:spacing w:before="0" w:after="0"/>
        <w:ind w:left="120"/>
        <w:jc w:val="both"/>
      </w:pPr>
      <w:r>
        <w:rPr>
          <w:rFonts w:ascii="Times New Roman" w:hAnsi="Times New Roman"/>
          <w:b w:val="false"/>
          <w:i w:val="false"/>
          <w:color w:val="000000"/>
          <w:sz w:val="22"/>
        </w:rPr>
        <w:t>Concrete block laying—contractors</w:t>
      </w:r>
    </w:p>
    <w:p>
      <w:pPr>
        <w:spacing w:before="0" w:after="0"/>
        <w:ind w:left="120"/>
        <w:jc w:val="both"/>
      </w:pPr>
      <w:r>
        <w:rPr>
          <w:rFonts w:ascii="Times New Roman" w:hAnsi="Times New Roman"/>
          <w:b w:val="false"/>
          <w:i w:val="false"/>
          <w:color w:val="000000"/>
          <w:sz w:val="22"/>
        </w:rPr>
        <w:t>Foundations, building of: block, stone or brick—contractors</w:t>
      </w:r>
    </w:p>
    <w:p>
      <w:pPr>
        <w:spacing w:before="0" w:after="0"/>
        <w:ind w:left="120"/>
        <w:jc w:val="both"/>
      </w:pPr>
      <w:r>
        <w:rPr>
          <w:rFonts w:ascii="Times New Roman" w:hAnsi="Times New Roman"/>
          <w:b w:val="false"/>
          <w:i w:val="false"/>
          <w:color w:val="000000"/>
          <w:sz w:val="22"/>
        </w:rPr>
        <w:t>Marble work, exterior construction—contractors</w:t>
      </w:r>
    </w:p>
    <w:p>
      <w:pPr>
        <w:spacing w:before="0" w:after="0"/>
        <w:ind w:left="120"/>
        <w:jc w:val="both"/>
      </w:pPr>
      <w:r>
        <w:rPr>
          <w:rFonts w:ascii="Times New Roman" w:hAnsi="Times New Roman"/>
          <w:b w:val="false"/>
          <w:i w:val="false"/>
          <w:color w:val="000000"/>
          <w:sz w:val="22"/>
        </w:rPr>
        <w:t>Masonry—contractors</w:t>
      </w:r>
    </w:p>
    <w:p>
      <w:pPr>
        <w:spacing w:before="0" w:after="0"/>
        <w:ind w:left="120"/>
        <w:jc w:val="both"/>
      </w:pPr>
      <w:r>
        <w:rPr>
          <w:rFonts w:ascii="Times New Roman" w:hAnsi="Times New Roman"/>
          <w:b w:val="false"/>
          <w:i w:val="false"/>
          <w:color w:val="000000"/>
          <w:sz w:val="22"/>
        </w:rPr>
        <w:t>Refractory brick construction—contractors</w:t>
      </w:r>
    </w:p>
    <w:p>
      <w:pPr>
        <w:spacing w:before="0" w:after="0"/>
        <w:ind w:left="120"/>
        <w:jc w:val="both"/>
      </w:pPr>
      <w:r>
        <w:rPr>
          <w:rFonts w:ascii="Times New Roman" w:hAnsi="Times New Roman"/>
          <w:b w:val="false"/>
          <w:i w:val="false"/>
          <w:color w:val="000000"/>
          <w:sz w:val="22"/>
        </w:rPr>
        <w:t>Retaining wall construction: block, stone or brick—contractors</w:t>
      </w:r>
    </w:p>
    <w:p>
      <w:pPr>
        <w:spacing w:before="0" w:after="0"/>
        <w:ind w:left="120"/>
        <w:jc w:val="both"/>
      </w:pPr>
      <w:r>
        <w:rPr>
          <w:rFonts w:ascii="Times New Roman" w:hAnsi="Times New Roman"/>
          <w:b w:val="false"/>
          <w:i w:val="false"/>
          <w:color w:val="000000"/>
          <w:sz w:val="22"/>
        </w:rPr>
        <w:t>Stone setting—contractors</w:t>
      </w:r>
    </w:p>
    <w:p>
      <w:pPr>
        <w:spacing w:before="0" w:after="0"/>
        <w:ind w:left="120"/>
        <w:jc w:val="both"/>
      </w:pPr>
      <w:r>
        <w:rPr>
          <w:rFonts w:ascii="Times New Roman" w:hAnsi="Times New Roman"/>
          <w:b w:val="false"/>
          <w:i w:val="false"/>
          <w:color w:val="000000"/>
          <w:sz w:val="22"/>
        </w:rPr>
        <w:t>Stone work erection—contractors</w:t>
      </w:r>
    </w:p>
    <w:p>
      <w:pPr>
        <w:spacing w:before="0" w:after="0"/>
        <w:ind w:left="120"/>
        <w:jc w:val="both"/>
      </w:pPr>
      <w:r>
        <w:rPr>
          <w:rFonts w:ascii="Times New Roman" w:hAnsi="Times New Roman"/>
          <w:b w:val="false"/>
          <w:i w:val="false"/>
          <w:color w:val="000000"/>
          <w:sz w:val="22"/>
        </w:rPr>
        <w:t>Tuck pointing—contractors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Drywall, plastering, acoustical, and insulation contractors. Establishments primarily engaged in drywall, plaster work, acoustical and building insulation work. The drywall, plaster work, acoustical and insulation work performed includes new work, additions, alterations, and maintenance and repairs.</w:t>
      </w:r>
    </w:p>
    <w:p>
      <w:pPr>
        <w:spacing w:before="0" w:after="0"/>
        <w:ind w:left="120"/>
        <w:jc w:val="both"/>
      </w:pPr>
      <w:r>
        <w:rPr>
          <w:rFonts w:ascii="Times New Roman" w:hAnsi="Times New Roman"/>
          <w:b w:val="false"/>
          <w:i w:val="false"/>
          <w:color w:val="000000"/>
          <w:sz w:val="22"/>
        </w:rPr>
        <w:t>Acoustical work—contractors</w:t>
      </w:r>
    </w:p>
    <w:p>
      <w:pPr>
        <w:spacing w:before="0" w:after="0"/>
        <w:ind w:left="120"/>
        <w:jc w:val="both"/>
      </w:pPr>
      <w:r>
        <w:rPr>
          <w:rFonts w:ascii="Times New Roman" w:hAnsi="Times New Roman"/>
          <w:b w:val="false"/>
          <w:i w:val="false"/>
          <w:color w:val="000000"/>
          <w:sz w:val="22"/>
        </w:rPr>
        <w:t>Ceilings, acoustical installation—contractors</w:t>
      </w:r>
    </w:p>
    <w:p>
      <w:pPr>
        <w:spacing w:before="0" w:after="0"/>
        <w:ind w:left="120"/>
        <w:jc w:val="both"/>
      </w:pPr>
      <w:r>
        <w:rPr>
          <w:rFonts w:ascii="Times New Roman" w:hAnsi="Times New Roman"/>
          <w:b w:val="false"/>
          <w:i w:val="false"/>
          <w:color w:val="000000"/>
          <w:sz w:val="22"/>
        </w:rPr>
        <w:t>Drywall construction—contractors</w:t>
      </w:r>
    </w:p>
    <w:p>
      <w:pPr>
        <w:spacing w:before="0" w:after="0"/>
        <w:ind w:left="120"/>
        <w:jc w:val="both"/>
      </w:pPr>
      <w:r>
        <w:rPr>
          <w:rFonts w:ascii="Times New Roman" w:hAnsi="Times New Roman"/>
          <w:b w:val="false"/>
          <w:i w:val="false"/>
          <w:color w:val="000000"/>
          <w:sz w:val="22"/>
        </w:rPr>
        <w:t>Insulation installation, buildings—contractors</w:t>
      </w:r>
    </w:p>
    <w:p>
      <w:pPr>
        <w:spacing w:before="0" w:after="0"/>
        <w:ind w:left="120"/>
        <w:jc w:val="both"/>
      </w:pPr>
      <w:r>
        <w:rPr>
          <w:rFonts w:ascii="Times New Roman" w:hAnsi="Times New Roman"/>
          <w:b w:val="false"/>
          <w:i w:val="false"/>
          <w:color w:val="000000"/>
          <w:sz w:val="22"/>
        </w:rPr>
        <w:t>Lathing—contractors</w:t>
      </w:r>
    </w:p>
    <w:p>
      <w:pPr>
        <w:spacing w:before="0" w:after="0"/>
        <w:ind w:left="120"/>
        <w:jc w:val="both"/>
      </w:pPr>
      <w:r>
        <w:rPr>
          <w:rFonts w:ascii="Times New Roman" w:hAnsi="Times New Roman"/>
          <w:b w:val="false"/>
          <w:i w:val="false"/>
          <w:color w:val="000000"/>
          <w:sz w:val="22"/>
        </w:rPr>
        <w:t>Plastering, plain or ornamental—contractors</w:t>
      </w:r>
    </w:p>
    <w:p>
      <w:pPr>
        <w:spacing w:before="0" w:after="0"/>
        <w:ind w:left="120"/>
        <w:jc w:val="both"/>
      </w:pPr>
      <w:r>
        <w:rPr>
          <w:rFonts w:ascii="Times New Roman" w:hAnsi="Times New Roman"/>
          <w:b w:val="false"/>
          <w:i w:val="false"/>
          <w:color w:val="000000"/>
          <w:sz w:val="22"/>
        </w:rPr>
        <w:t>Solar reflecting insulation film—contractors</w:t>
      </w:r>
    </w:p>
    <w:p>
      <w:pPr>
        <w:spacing w:before="0" w:after="0"/>
        <w:ind w:left="120"/>
        <w:jc w:val="both"/>
      </w:pPr>
      <w:r>
        <w:rPr>
          <w:rFonts w:ascii="Times New Roman" w:hAnsi="Times New Roman"/>
          <w:b w:val="false"/>
          <w:i w:val="false"/>
          <w:color w:val="000000"/>
          <w:sz w:val="22"/>
        </w:rPr>
        <w:t>Stucco construction—contractors</w:t>
      </w:r>
    </w:p>
    <w:p>
      <w:pPr>
        <w:spacing w:before="0" w:after="0"/>
        <w:ind w:left="120"/>
        <w:jc w:val="both"/>
      </w:pPr>
      <w:r>
        <w:rPr>
          <w:rFonts w:ascii="Times New Roman" w:hAnsi="Times New Roman"/>
          <w:b w:val="false"/>
          <w:i w:val="false"/>
          <w:color w:val="000000"/>
          <w:sz w:val="22"/>
        </w:rPr>
        <w:t>Taping and finishing drywall—contractors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Tile, marble, terrazzo, and mosaic contractors. Establishments primarily engaged in (1) setting and installing ceramic tile, marble (interior only), terrazzo, and mosaic, or (2) mixing marble particles and cement to make terrazzo at the job site. The tile, marble, terrazzo, and mosaic work performed includes new work, additions, alterations, and maintenance and repairs.</w:t>
      </w:r>
    </w:p>
    <w:p>
      <w:pPr>
        <w:spacing w:before="0" w:after="0"/>
        <w:ind w:left="120"/>
        <w:jc w:val="both"/>
      </w:pPr>
      <w:r>
        <w:rPr>
          <w:rFonts w:ascii="Times New Roman" w:hAnsi="Times New Roman"/>
          <w:b w:val="false"/>
          <w:i w:val="false"/>
          <w:color w:val="000000"/>
          <w:sz w:val="22"/>
        </w:rPr>
        <w:t>Fresco work—contractors</w:t>
      </w:r>
    </w:p>
    <w:p>
      <w:pPr>
        <w:spacing w:before="0" w:after="0"/>
        <w:ind w:left="120"/>
        <w:jc w:val="both"/>
      </w:pPr>
      <w:r>
        <w:rPr>
          <w:rFonts w:ascii="Times New Roman" w:hAnsi="Times New Roman"/>
          <w:b w:val="false"/>
          <w:i w:val="false"/>
          <w:color w:val="000000"/>
          <w:sz w:val="22"/>
        </w:rPr>
        <w:t>Mantel work—contractors</w:t>
      </w:r>
    </w:p>
    <w:p>
      <w:pPr>
        <w:spacing w:before="0" w:after="0"/>
        <w:ind w:left="120"/>
        <w:jc w:val="both"/>
      </w:pPr>
      <w:r>
        <w:rPr>
          <w:rFonts w:ascii="Times New Roman" w:hAnsi="Times New Roman"/>
          <w:b w:val="false"/>
          <w:i w:val="false"/>
          <w:color w:val="000000"/>
          <w:sz w:val="22"/>
        </w:rPr>
        <w:t>Marble installation, interior; including finishing—contractors</w:t>
      </w:r>
    </w:p>
    <w:p>
      <w:pPr>
        <w:spacing w:before="0" w:after="0"/>
        <w:ind w:left="120"/>
        <w:jc w:val="both"/>
      </w:pPr>
      <w:r>
        <w:rPr>
          <w:rFonts w:ascii="Times New Roman" w:hAnsi="Times New Roman"/>
          <w:b w:val="false"/>
          <w:i w:val="false"/>
          <w:color w:val="000000"/>
          <w:sz w:val="22"/>
        </w:rPr>
        <w:t>Mosaic work—contractors</w:t>
      </w:r>
    </w:p>
    <w:p>
      <w:pPr>
        <w:spacing w:before="0" w:after="0"/>
        <w:ind w:left="120"/>
        <w:jc w:val="both"/>
      </w:pPr>
      <w:r>
        <w:rPr>
          <w:rFonts w:ascii="Times New Roman" w:hAnsi="Times New Roman"/>
          <w:b w:val="false"/>
          <w:i w:val="false"/>
          <w:color w:val="000000"/>
          <w:sz w:val="22"/>
        </w:rPr>
        <w:t>Terrazzo work—contractors</w:t>
      </w:r>
    </w:p>
    <w:p>
      <w:pPr>
        <w:spacing w:before="0" w:after="0"/>
        <w:ind w:left="120"/>
        <w:jc w:val="both"/>
      </w:pPr>
      <w:r>
        <w:rPr>
          <w:rFonts w:ascii="Times New Roman" w:hAnsi="Times New Roman"/>
          <w:b w:val="false"/>
          <w:i w:val="false"/>
          <w:color w:val="000000"/>
          <w:sz w:val="22"/>
        </w:rPr>
        <w:t>Tile installation, ceramic—contractors</w:t>
      </w:r>
    </w:p>
    <w:p>
      <w:pPr>
        <w:spacing w:before="0" w:after="0"/>
        <w:ind w:left="120"/>
        <w:jc w:val="both"/>
      </w:pPr>
      <w:r>
        <w:rPr>
          <w:rFonts w:ascii="Times New Roman" w:hAnsi="Times New Roman"/>
          <w:b w:val="false"/>
          <w:i w:val="false"/>
          <w:color w:val="000000"/>
          <w:sz w:val="22"/>
        </w:rPr>
        <w:t>Tile setting, ceramic—contractors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Carpentering and floor contractors.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Carpentry contractors. Establishments primarily engaged in framing, carpentry, and finishing work. The carpentry work performed includes new work, additions, alterations, and maintenance and repairs.</w:t>
      </w:r>
    </w:p>
    <w:p>
      <w:pPr>
        <w:spacing w:before="0" w:after="0"/>
        <w:ind w:left="120"/>
        <w:jc w:val="both"/>
      </w:pPr>
      <w:r>
        <w:rPr>
          <w:rFonts w:ascii="Times New Roman" w:hAnsi="Times New Roman"/>
          <w:b w:val="false"/>
          <w:i w:val="false"/>
          <w:color w:val="000000"/>
          <w:sz w:val="22"/>
        </w:rPr>
        <w:t>Carpentry work—contractors</w:t>
      </w:r>
    </w:p>
    <w:p>
      <w:pPr>
        <w:spacing w:before="0" w:after="0"/>
        <w:ind w:left="120"/>
        <w:jc w:val="both"/>
      </w:pPr>
      <w:r>
        <w:rPr>
          <w:rFonts w:ascii="Times New Roman" w:hAnsi="Times New Roman"/>
          <w:b w:val="false"/>
          <w:i w:val="false"/>
          <w:color w:val="000000"/>
          <w:sz w:val="22"/>
        </w:rPr>
        <w:t>Folding door installation—contractors</w:t>
      </w:r>
    </w:p>
    <w:p>
      <w:pPr>
        <w:spacing w:before="0" w:after="0"/>
        <w:ind w:left="120"/>
        <w:jc w:val="both"/>
      </w:pPr>
      <w:r>
        <w:rPr>
          <w:rFonts w:ascii="Times New Roman" w:hAnsi="Times New Roman"/>
          <w:b w:val="false"/>
          <w:i w:val="false"/>
          <w:color w:val="000000"/>
          <w:sz w:val="22"/>
        </w:rPr>
        <w:t>Framing—contractors</w:t>
      </w:r>
    </w:p>
    <w:p>
      <w:pPr>
        <w:spacing w:before="0" w:after="0"/>
        <w:ind w:left="120"/>
        <w:jc w:val="both"/>
      </w:pPr>
      <w:r>
        <w:rPr>
          <w:rFonts w:ascii="Times New Roman" w:hAnsi="Times New Roman"/>
          <w:b w:val="false"/>
          <w:i w:val="false"/>
          <w:color w:val="000000"/>
          <w:sz w:val="22"/>
        </w:rPr>
        <w:t>Garage door installation—contractors</w:t>
      </w:r>
    </w:p>
    <w:p>
      <w:pPr>
        <w:spacing w:before="0" w:after="0"/>
        <w:ind w:left="120"/>
        <w:jc w:val="both"/>
      </w:pPr>
      <w:r>
        <w:rPr>
          <w:rFonts w:ascii="Times New Roman" w:hAnsi="Times New Roman"/>
          <w:b w:val="false"/>
          <w:i w:val="false"/>
          <w:color w:val="000000"/>
          <w:sz w:val="22"/>
        </w:rPr>
        <w:t>Joinery, ship—contractors</w:t>
      </w:r>
    </w:p>
    <w:p>
      <w:pPr>
        <w:spacing w:before="0" w:after="0"/>
        <w:ind w:left="120"/>
        <w:jc w:val="both"/>
      </w:pPr>
      <w:r>
        <w:rPr>
          <w:rFonts w:ascii="Times New Roman" w:hAnsi="Times New Roman"/>
          <w:b w:val="false"/>
          <w:i w:val="false"/>
          <w:color w:val="000000"/>
          <w:sz w:val="22"/>
        </w:rPr>
        <w:t>Ship joinery—contractors</w:t>
      </w:r>
    </w:p>
    <w:p>
      <w:pPr>
        <w:spacing w:before="0" w:after="0"/>
        <w:ind w:left="120"/>
        <w:jc w:val="both"/>
      </w:pPr>
      <w:r>
        <w:rPr>
          <w:rFonts w:ascii="Times New Roman" w:hAnsi="Times New Roman"/>
          <w:b w:val="false"/>
          <w:i w:val="false"/>
          <w:color w:val="000000"/>
          <w:sz w:val="22"/>
        </w:rPr>
        <w:t>Store fixture installation—contractors</w:t>
      </w:r>
    </w:p>
    <w:p>
      <w:pPr>
        <w:spacing w:before="0" w:after="0"/>
        <w:ind w:left="120"/>
        <w:jc w:val="both"/>
      </w:pPr>
      <w:r>
        <w:rPr>
          <w:rFonts w:ascii="Times New Roman" w:hAnsi="Times New Roman"/>
          <w:b w:val="false"/>
          <w:i w:val="false"/>
          <w:color w:val="000000"/>
          <w:sz w:val="22"/>
        </w:rPr>
        <w:t>Trim and finish—contractors</w:t>
      </w:r>
    </w:p>
    <w:p>
      <w:pPr>
        <w:spacing w:before="0" w:after="0"/>
        <w:ind w:left="120"/>
        <w:jc w:val="both"/>
      </w:pPr>
      <w:r>
        <w:rPr>
          <w:rFonts w:ascii="Times New Roman" w:hAnsi="Times New Roman"/>
          <w:b w:val="false"/>
          <w:i w:val="false"/>
          <w:color w:val="000000"/>
          <w:sz w:val="22"/>
        </w:rPr>
        <w:t>Window and door (prefabricated) installation—contractors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Floor laying and other floor contractors. Establishments primarily engaged in the installation of resilient floor tile, carpeting, linoleum, and wood or resilient flooring. The floor laying and other floor work performed includes new work, additions, alterations, and maintenance and repairs.</w:t>
      </w:r>
    </w:p>
    <w:p>
      <w:pPr>
        <w:spacing w:before="0" w:after="0"/>
        <w:ind w:left="120"/>
        <w:jc w:val="both"/>
      </w:pPr>
      <w:r>
        <w:rPr>
          <w:rFonts w:ascii="Times New Roman" w:hAnsi="Times New Roman"/>
          <w:b w:val="false"/>
          <w:i w:val="false"/>
          <w:color w:val="000000"/>
          <w:sz w:val="22"/>
        </w:rPr>
        <w:t>Asphalt tile installation—contractors</w:t>
      </w:r>
    </w:p>
    <w:p>
      <w:pPr>
        <w:spacing w:before="0" w:after="0"/>
        <w:ind w:left="120"/>
        <w:jc w:val="both"/>
      </w:pPr>
      <w:r>
        <w:rPr>
          <w:rFonts w:ascii="Times New Roman" w:hAnsi="Times New Roman"/>
          <w:b w:val="false"/>
          <w:i w:val="false"/>
          <w:color w:val="000000"/>
          <w:sz w:val="22"/>
        </w:rPr>
        <w:t>Carpet laying or removal service—contractors</w:t>
      </w:r>
    </w:p>
    <w:p>
      <w:pPr>
        <w:spacing w:before="0" w:after="0"/>
        <w:ind w:left="120"/>
        <w:jc w:val="both"/>
      </w:pPr>
      <w:r>
        <w:rPr>
          <w:rFonts w:ascii="Times New Roman" w:hAnsi="Times New Roman"/>
          <w:b w:val="false"/>
          <w:i w:val="false"/>
          <w:color w:val="000000"/>
          <w:sz w:val="22"/>
        </w:rPr>
        <w:t>Fireproof flooring construction—contractors</w:t>
      </w:r>
    </w:p>
    <w:p>
      <w:pPr>
        <w:spacing w:before="0" w:after="0"/>
        <w:ind w:left="120"/>
        <w:jc w:val="both"/>
      </w:pPr>
      <w:r>
        <w:rPr>
          <w:rFonts w:ascii="Times New Roman" w:hAnsi="Times New Roman"/>
          <w:b w:val="false"/>
          <w:i w:val="false"/>
          <w:color w:val="000000"/>
          <w:sz w:val="22"/>
        </w:rPr>
        <w:t>Floor laying, scraping, finishing and refinishing—contractors</w:t>
      </w:r>
    </w:p>
    <w:p>
      <w:pPr>
        <w:spacing w:before="0" w:after="0"/>
        <w:ind w:left="120"/>
        <w:jc w:val="both"/>
      </w:pPr>
      <w:r>
        <w:rPr>
          <w:rFonts w:ascii="Times New Roman" w:hAnsi="Times New Roman"/>
          <w:b w:val="false"/>
          <w:i w:val="false"/>
          <w:color w:val="000000"/>
          <w:sz w:val="22"/>
        </w:rPr>
        <w:t>Flooring, wood—contractors</w:t>
      </w:r>
    </w:p>
    <w:p>
      <w:pPr>
        <w:spacing w:before="0" w:after="0"/>
        <w:ind w:left="120"/>
        <w:jc w:val="both"/>
      </w:pPr>
      <w:r>
        <w:rPr>
          <w:rFonts w:ascii="Times New Roman" w:hAnsi="Times New Roman"/>
          <w:b w:val="false"/>
          <w:i w:val="false"/>
          <w:color w:val="000000"/>
          <w:sz w:val="22"/>
        </w:rPr>
        <w:t>Hardwood flooring—contractors</w:t>
      </w:r>
    </w:p>
    <w:p>
      <w:pPr>
        <w:spacing w:before="0" w:after="0"/>
        <w:ind w:left="120"/>
        <w:jc w:val="both"/>
      </w:pPr>
      <w:r>
        <w:rPr>
          <w:rFonts w:ascii="Times New Roman" w:hAnsi="Times New Roman"/>
          <w:b w:val="false"/>
          <w:i w:val="false"/>
          <w:color w:val="000000"/>
          <w:sz w:val="22"/>
        </w:rPr>
        <w:t>Linoleum installation—contractors</w:t>
      </w:r>
    </w:p>
    <w:p>
      <w:pPr>
        <w:spacing w:before="0" w:after="0"/>
        <w:ind w:left="120"/>
        <w:jc w:val="both"/>
      </w:pPr>
      <w:r>
        <w:rPr>
          <w:rFonts w:ascii="Times New Roman" w:hAnsi="Times New Roman"/>
          <w:b w:val="false"/>
          <w:i w:val="false"/>
          <w:color w:val="000000"/>
          <w:sz w:val="22"/>
        </w:rPr>
        <w:t>Parquet flooring—contractors</w:t>
      </w:r>
    </w:p>
    <w:p>
      <w:pPr>
        <w:spacing w:before="0" w:after="0"/>
        <w:ind w:left="120"/>
        <w:jc w:val="both"/>
      </w:pPr>
      <w:r>
        <w:rPr>
          <w:rFonts w:ascii="Times New Roman" w:hAnsi="Times New Roman"/>
          <w:b w:val="false"/>
          <w:i w:val="false"/>
          <w:color w:val="000000"/>
          <w:sz w:val="22"/>
        </w:rPr>
        <w:t>Resilient floor laying—contractors</w:t>
      </w:r>
    </w:p>
    <w:p>
      <w:pPr>
        <w:spacing w:before="0" w:after="0"/>
        <w:ind w:left="120"/>
        <w:jc w:val="both"/>
      </w:pPr>
      <w:r>
        <w:rPr>
          <w:rFonts w:ascii="Times New Roman" w:hAnsi="Times New Roman"/>
          <w:b w:val="false"/>
          <w:i w:val="false"/>
          <w:color w:val="000000"/>
          <w:sz w:val="22"/>
        </w:rPr>
        <w:t>Vinyl floor tile and sheet installation—contractors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Roofing, siding, and sheet metal contractors. </w:t>
      </w:r>
      <w:r>
        <w:rPr>
          <w:rFonts w:ascii="Times New Roman" w:hAnsi="Times New Roman"/>
          <w:b w:val="false"/>
          <w:i w:val="false"/>
          <w:color w:val="000000"/>
          <w:sz w:val="22"/>
        </w:rPr>
        <w:t>Establishments primarily engaged in the installation of roofing, siding, sheet metal work, and roof drainage-related work, such as downspouts and gutters. The roofing, siding and sheet metal work performed includes new work, additions, alterations, and maintenance and repairs.</w:t>
      </w:r>
    </w:p>
    <w:p>
      <w:pPr>
        <w:spacing w:before="0" w:after="0"/>
        <w:ind w:left="120"/>
        <w:jc w:val="both"/>
      </w:pPr>
      <w:r>
        <w:rPr>
          <w:rFonts w:ascii="Times New Roman" w:hAnsi="Times New Roman"/>
          <w:b w:val="false"/>
          <w:i w:val="false"/>
          <w:color w:val="000000"/>
          <w:sz w:val="22"/>
        </w:rPr>
        <w:t>Architectural sheet metal work—contractors</w:t>
      </w:r>
    </w:p>
    <w:p>
      <w:pPr>
        <w:spacing w:before="0" w:after="0"/>
        <w:ind w:left="120"/>
        <w:jc w:val="both"/>
      </w:pPr>
      <w:r>
        <w:rPr>
          <w:rFonts w:ascii="Times New Roman" w:hAnsi="Times New Roman"/>
          <w:b w:val="false"/>
          <w:i w:val="false"/>
          <w:color w:val="000000"/>
          <w:sz w:val="22"/>
        </w:rPr>
        <w:t>Ceilings, metal; erection and repair—contractors</w:t>
      </w:r>
    </w:p>
    <w:p>
      <w:pPr>
        <w:spacing w:before="0" w:after="0"/>
        <w:ind w:left="120"/>
        <w:jc w:val="both"/>
      </w:pPr>
      <w:r>
        <w:rPr>
          <w:rFonts w:ascii="Times New Roman" w:hAnsi="Times New Roman"/>
          <w:b w:val="false"/>
          <w:i w:val="false"/>
          <w:color w:val="000000"/>
          <w:sz w:val="22"/>
        </w:rPr>
        <w:t>Coppersmithing, in connection with construction work—contractors</w:t>
      </w:r>
    </w:p>
    <w:p>
      <w:pPr>
        <w:spacing w:before="0" w:after="0"/>
        <w:ind w:left="120"/>
        <w:jc w:val="both"/>
      </w:pPr>
      <w:r>
        <w:rPr>
          <w:rFonts w:ascii="Times New Roman" w:hAnsi="Times New Roman"/>
          <w:b w:val="false"/>
          <w:i w:val="false"/>
          <w:color w:val="000000"/>
          <w:sz w:val="22"/>
        </w:rPr>
        <w:t>Downspout installation, metal—contractors</w:t>
      </w:r>
    </w:p>
    <w:p>
      <w:pPr>
        <w:spacing w:before="0" w:after="0"/>
        <w:ind w:left="120"/>
        <w:jc w:val="both"/>
      </w:pPr>
      <w:r>
        <w:rPr>
          <w:rFonts w:ascii="Times New Roman" w:hAnsi="Times New Roman"/>
          <w:b w:val="false"/>
          <w:i w:val="false"/>
          <w:color w:val="000000"/>
          <w:sz w:val="22"/>
        </w:rPr>
        <w:t>Duct work, sheet metal—contractors</w:t>
      </w:r>
    </w:p>
    <w:p>
      <w:pPr>
        <w:spacing w:before="0" w:after="0"/>
        <w:ind w:left="120"/>
        <w:jc w:val="both"/>
      </w:pPr>
      <w:r>
        <w:rPr>
          <w:rFonts w:ascii="Times New Roman" w:hAnsi="Times New Roman"/>
          <w:b w:val="false"/>
          <w:i w:val="false"/>
          <w:color w:val="000000"/>
          <w:sz w:val="22"/>
        </w:rPr>
        <w:t>Gutter installation, metal—contractors</w:t>
      </w:r>
    </w:p>
    <w:p>
      <w:pPr>
        <w:spacing w:before="0" w:after="0"/>
        <w:ind w:left="120"/>
        <w:jc w:val="both"/>
      </w:pPr>
      <w:r>
        <w:rPr>
          <w:rFonts w:ascii="Times New Roman" w:hAnsi="Times New Roman"/>
          <w:b w:val="false"/>
          <w:i w:val="false"/>
          <w:color w:val="000000"/>
          <w:sz w:val="22"/>
        </w:rPr>
        <w:t>Roof spraying, painting or coating—contractors</w:t>
      </w:r>
    </w:p>
    <w:p>
      <w:pPr>
        <w:spacing w:before="0" w:after="0"/>
        <w:ind w:left="120"/>
        <w:jc w:val="both"/>
      </w:pPr>
      <w:r>
        <w:rPr>
          <w:rFonts w:ascii="Times New Roman" w:hAnsi="Times New Roman"/>
          <w:b w:val="false"/>
          <w:i w:val="false"/>
          <w:color w:val="000000"/>
          <w:sz w:val="22"/>
        </w:rPr>
        <w:t>Roofing work, including repairing—contractors</w:t>
      </w:r>
    </w:p>
    <w:p>
      <w:pPr>
        <w:spacing w:before="0" w:after="0"/>
        <w:ind w:left="120"/>
        <w:jc w:val="both"/>
      </w:pPr>
      <w:r>
        <w:rPr>
          <w:rFonts w:ascii="Times New Roman" w:hAnsi="Times New Roman"/>
          <w:b w:val="false"/>
          <w:i w:val="false"/>
          <w:color w:val="000000"/>
          <w:sz w:val="22"/>
        </w:rPr>
        <w:t>Sheet metal work: except plumbing, heating or air-conditioning—contractors</w:t>
      </w:r>
    </w:p>
    <w:p>
      <w:pPr>
        <w:spacing w:before="0" w:after="0"/>
        <w:ind w:left="120"/>
        <w:jc w:val="both"/>
      </w:pPr>
      <w:r>
        <w:rPr>
          <w:rFonts w:ascii="Times New Roman" w:hAnsi="Times New Roman"/>
          <w:b w:val="false"/>
          <w:i w:val="false"/>
          <w:color w:val="000000"/>
          <w:sz w:val="22"/>
        </w:rPr>
        <w:t>Siding—contractors</w:t>
      </w:r>
    </w:p>
    <w:p>
      <w:pPr>
        <w:spacing w:before="0" w:after="0"/>
        <w:ind w:left="120"/>
        <w:jc w:val="both"/>
      </w:pPr>
      <w:r>
        <w:rPr>
          <w:rFonts w:ascii="Times New Roman" w:hAnsi="Times New Roman"/>
          <w:b w:val="false"/>
          <w:i w:val="false"/>
          <w:color w:val="000000"/>
          <w:sz w:val="22"/>
        </w:rPr>
        <w:t>Skylight installation—contractors</w:t>
      </w:r>
    </w:p>
    <w:p>
      <w:pPr>
        <w:spacing w:before="0" w:after="0"/>
        <w:ind w:left="120"/>
        <w:jc w:val="both"/>
      </w:pPr>
      <w:r>
        <w:rPr>
          <w:rFonts w:ascii="Times New Roman" w:hAnsi="Times New Roman"/>
          <w:b w:val="false"/>
          <w:i w:val="false"/>
          <w:color w:val="000000"/>
          <w:sz w:val="22"/>
        </w:rPr>
        <w:t>Tinsmithing, in connection with construction work—contractors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Concrete contractors. </w:t>
      </w:r>
      <w:r>
        <w:rPr>
          <w:rFonts w:ascii="Times New Roman" w:hAnsi="Times New Roman"/>
          <w:b w:val="false"/>
          <w:i w:val="false"/>
          <w:color w:val="000000"/>
          <w:sz w:val="22"/>
        </w:rPr>
        <w:t>Establishments primarily engaged in the use of concrete and asphalt to produce parking areas, building foundations, structures, and retaining walls and the use of all materials to produce patios, private driveways and private walks. The concrete work performed includes new work, additions, alterations, and maintenance and repairs.</w:t>
      </w:r>
    </w:p>
    <w:p>
      <w:pPr>
        <w:spacing w:before="0" w:after="0"/>
        <w:ind w:left="120"/>
        <w:jc w:val="both"/>
      </w:pPr>
      <w:r>
        <w:rPr>
          <w:rFonts w:ascii="Times New Roman" w:hAnsi="Times New Roman"/>
          <w:b w:val="false"/>
          <w:i w:val="false"/>
          <w:color w:val="000000"/>
          <w:sz w:val="22"/>
        </w:rPr>
        <w:t>Asphalting of private driveways and private parking areas—contractors</w:t>
      </w:r>
    </w:p>
    <w:p>
      <w:pPr>
        <w:spacing w:before="0" w:after="0"/>
        <w:ind w:left="120"/>
        <w:jc w:val="both"/>
      </w:pPr>
      <w:r>
        <w:rPr>
          <w:rFonts w:ascii="Times New Roman" w:hAnsi="Times New Roman"/>
          <w:b w:val="false"/>
          <w:i w:val="false"/>
          <w:color w:val="000000"/>
          <w:sz w:val="22"/>
        </w:rPr>
        <w:t>Blacktop work; private driveways and private parking areas—contractors</w:t>
      </w:r>
    </w:p>
    <w:p>
      <w:pPr>
        <w:spacing w:before="0" w:after="0"/>
        <w:ind w:left="120"/>
        <w:jc w:val="both"/>
      </w:pPr>
      <w:r>
        <w:rPr>
          <w:rFonts w:ascii="Times New Roman" w:hAnsi="Times New Roman"/>
          <w:b w:val="false"/>
          <w:i w:val="false"/>
          <w:color w:val="000000"/>
          <w:sz w:val="22"/>
        </w:rPr>
        <w:t>Concrete finishers—contractors</w:t>
      </w:r>
    </w:p>
    <w:p>
      <w:pPr>
        <w:spacing w:before="0" w:after="0"/>
        <w:ind w:left="120"/>
        <w:jc w:val="both"/>
      </w:pPr>
      <w:r>
        <w:rPr>
          <w:rFonts w:ascii="Times New Roman" w:hAnsi="Times New Roman"/>
          <w:b w:val="false"/>
          <w:i w:val="false"/>
          <w:color w:val="000000"/>
          <w:sz w:val="22"/>
        </w:rPr>
        <w:t>Concrete work: private driveways, sidewalks, and parking areas—contractors</w:t>
      </w:r>
    </w:p>
    <w:p>
      <w:pPr>
        <w:spacing w:before="0" w:after="0"/>
        <w:ind w:left="120"/>
        <w:jc w:val="both"/>
      </w:pPr>
      <w:r>
        <w:rPr>
          <w:rFonts w:ascii="Times New Roman" w:hAnsi="Times New Roman"/>
          <w:b w:val="false"/>
          <w:i w:val="false"/>
          <w:color w:val="000000"/>
          <w:sz w:val="22"/>
        </w:rPr>
        <w:t>Culvert construction—contractors</w:t>
      </w:r>
    </w:p>
    <w:p>
      <w:pPr>
        <w:spacing w:before="0" w:after="0"/>
        <w:ind w:left="120"/>
        <w:jc w:val="both"/>
      </w:pPr>
      <w:r>
        <w:rPr>
          <w:rFonts w:ascii="Times New Roman" w:hAnsi="Times New Roman"/>
          <w:b w:val="false"/>
          <w:i w:val="false"/>
          <w:color w:val="000000"/>
          <w:sz w:val="22"/>
        </w:rPr>
        <w:t>Curb construction—contractors</w:t>
      </w:r>
    </w:p>
    <w:p>
      <w:pPr>
        <w:spacing w:before="0" w:after="0"/>
        <w:ind w:left="120"/>
        <w:jc w:val="both"/>
      </w:pPr>
      <w:r>
        <w:rPr>
          <w:rFonts w:ascii="Times New Roman" w:hAnsi="Times New Roman"/>
          <w:b w:val="false"/>
          <w:i w:val="false"/>
          <w:color w:val="000000"/>
          <w:sz w:val="22"/>
        </w:rPr>
        <w:t>Foundations, building of: poured concrete—contractors</w:t>
      </w:r>
    </w:p>
    <w:p>
      <w:pPr>
        <w:spacing w:before="0" w:after="0"/>
        <w:ind w:left="120"/>
        <w:jc w:val="both"/>
      </w:pPr>
      <w:r>
        <w:rPr>
          <w:rFonts w:ascii="Times New Roman" w:hAnsi="Times New Roman"/>
          <w:b w:val="false"/>
          <w:i w:val="false"/>
          <w:color w:val="000000"/>
          <w:sz w:val="22"/>
        </w:rPr>
        <w:t>Grouting work—contractors</w:t>
      </w:r>
    </w:p>
    <w:p>
      <w:pPr>
        <w:spacing w:before="0" w:after="0"/>
        <w:ind w:left="120"/>
        <w:jc w:val="both"/>
      </w:pPr>
      <w:r>
        <w:rPr>
          <w:rFonts w:ascii="Times New Roman" w:hAnsi="Times New Roman"/>
          <w:b w:val="false"/>
          <w:i w:val="false"/>
          <w:color w:val="000000"/>
          <w:sz w:val="22"/>
        </w:rPr>
        <w:t>Gunite work—contractors</w:t>
      </w:r>
    </w:p>
    <w:p>
      <w:pPr>
        <w:spacing w:before="0" w:after="0"/>
        <w:ind w:left="120"/>
        <w:jc w:val="both"/>
      </w:pPr>
      <w:r>
        <w:rPr>
          <w:rFonts w:ascii="Times New Roman" w:hAnsi="Times New Roman"/>
          <w:b w:val="false"/>
          <w:i w:val="false"/>
          <w:color w:val="000000"/>
          <w:sz w:val="22"/>
        </w:rPr>
        <w:t>Parking lot construction—contractors</w:t>
      </w:r>
    </w:p>
    <w:p>
      <w:pPr>
        <w:spacing w:before="0" w:after="0"/>
        <w:ind w:left="120"/>
        <w:jc w:val="both"/>
      </w:pPr>
      <w:r>
        <w:rPr>
          <w:rFonts w:ascii="Times New Roman" w:hAnsi="Times New Roman"/>
          <w:b w:val="false"/>
          <w:i w:val="false"/>
          <w:color w:val="000000"/>
          <w:sz w:val="22"/>
        </w:rPr>
        <w:t>Patio construction, concrete—contractors</w:t>
      </w:r>
    </w:p>
    <w:p>
      <w:pPr>
        <w:spacing w:before="0" w:after="0"/>
        <w:ind w:left="120"/>
        <w:jc w:val="both"/>
      </w:pPr>
      <w:r>
        <w:rPr>
          <w:rFonts w:ascii="Times New Roman" w:hAnsi="Times New Roman"/>
          <w:b w:val="false"/>
          <w:i w:val="false"/>
          <w:color w:val="000000"/>
          <w:sz w:val="22"/>
        </w:rPr>
        <w:t>Sidewalk construction, except public—contractors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Water well drilling contractors. </w:t>
      </w:r>
      <w:r>
        <w:rPr>
          <w:rFonts w:ascii="Times New Roman" w:hAnsi="Times New Roman"/>
          <w:b w:val="false"/>
          <w:i w:val="false"/>
          <w:color w:val="000000"/>
          <w:sz w:val="22"/>
        </w:rPr>
        <w:t>Establishments primarily engaged in drilling, tapping, and capping of water wells and geothermal drilling. The water well drilling work performed includes new work, additions, alterations, and maintenance and repairs.</w:t>
      </w:r>
    </w:p>
    <w:p>
      <w:pPr>
        <w:spacing w:before="0" w:after="0"/>
        <w:ind w:left="120"/>
        <w:jc w:val="both"/>
      </w:pPr>
      <w:r>
        <w:rPr>
          <w:rFonts w:ascii="Times New Roman" w:hAnsi="Times New Roman"/>
          <w:b w:val="false"/>
          <w:i w:val="false"/>
          <w:color w:val="000000"/>
          <w:sz w:val="22"/>
        </w:rPr>
        <w:t>Drilling water wells—contractors</w:t>
      </w:r>
    </w:p>
    <w:p>
      <w:pPr>
        <w:spacing w:before="0" w:after="0"/>
        <w:ind w:left="120"/>
        <w:jc w:val="both"/>
      </w:pPr>
      <w:r>
        <w:rPr>
          <w:rFonts w:ascii="Times New Roman" w:hAnsi="Times New Roman"/>
          <w:b w:val="false"/>
          <w:i w:val="false"/>
          <w:color w:val="000000"/>
          <w:sz w:val="22"/>
        </w:rPr>
        <w:t>Geothermal drilling—contractors</w:t>
      </w:r>
    </w:p>
    <w:p>
      <w:pPr>
        <w:spacing w:before="0" w:after="0"/>
        <w:ind w:left="120"/>
        <w:jc w:val="both"/>
      </w:pPr>
      <w:r>
        <w:rPr>
          <w:rFonts w:ascii="Times New Roman" w:hAnsi="Times New Roman"/>
          <w:b w:val="false"/>
          <w:i w:val="false"/>
          <w:color w:val="000000"/>
          <w:sz w:val="22"/>
        </w:rPr>
        <w:t>Servicing water wells—contractors</w:t>
      </w:r>
    </w:p>
    <w:p>
      <w:pPr>
        <w:spacing w:before="0" w:after="0"/>
        <w:ind w:left="120"/>
        <w:jc w:val="both"/>
      </w:pPr>
      <w:r>
        <w:rPr>
          <w:rFonts w:ascii="Times New Roman" w:hAnsi="Times New Roman"/>
          <w:b w:val="false"/>
          <w:i w:val="false"/>
          <w:color w:val="000000"/>
          <w:sz w:val="22"/>
        </w:rPr>
        <w:t>Well drilling, water: except oil or gas field water intake—contractors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 xml:space="preserve">Other special trade contractors.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Structural steel erection contractors. Establishments primarily engaged in one or more of the following: (1) erecting metal, structural steel and similar products of prestressed or precast concrete to produce structural elements of building exterior, and elevator fronts; (2) setting rods, bars, rebar, mesh and cages to reinforce poured-in-place concrete; and (3) erecting cooling towers and metal storage tanks. The structural steel erection work performed includes new work, additions, alterations, reconstruction, and maintenance and repairs.</w:t>
      </w:r>
    </w:p>
    <w:p>
      <w:pPr>
        <w:spacing w:before="0" w:after="0"/>
        <w:ind w:left="120"/>
        <w:jc w:val="both"/>
      </w:pPr>
      <w:r>
        <w:rPr>
          <w:rFonts w:ascii="Times New Roman" w:hAnsi="Times New Roman"/>
          <w:b w:val="false"/>
          <w:i w:val="false"/>
          <w:color w:val="000000"/>
          <w:sz w:val="22"/>
        </w:rPr>
        <w:t>Building front installations, metal—contractors</w:t>
      </w:r>
    </w:p>
    <w:p>
      <w:pPr>
        <w:spacing w:before="0" w:after="0"/>
        <w:ind w:left="120"/>
        <w:jc w:val="both"/>
      </w:pPr>
      <w:r>
        <w:rPr>
          <w:rFonts w:ascii="Times New Roman" w:hAnsi="Times New Roman"/>
          <w:b w:val="false"/>
          <w:i w:val="false"/>
          <w:color w:val="000000"/>
          <w:sz w:val="22"/>
        </w:rPr>
        <w:t>Concrete products, structural precast or prestressed: placing of—contractors</w:t>
      </w:r>
    </w:p>
    <w:p>
      <w:pPr>
        <w:spacing w:before="0" w:after="0"/>
        <w:ind w:left="120"/>
        <w:jc w:val="both"/>
      </w:pPr>
      <w:r>
        <w:rPr>
          <w:rFonts w:ascii="Times New Roman" w:hAnsi="Times New Roman"/>
          <w:b w:val="false"/>
          <w:i w:val="false"/>
          <w:color w:val="000000"/>
          <w:sz w:val="22"/>
        </w:rPr>
        <w:t>Concrete reinforcement, placing of—contractors</w:t>
      </w:r>
    </w:p>
    <w:p>
      <w:pPr>
        <w:spacing w:before="0" w:after="0"/>
        <w:ind w:left="120"/>
        <w:jc w:val="both"/>
      </w:pPr>
      <w:r>
        <w:rPr>
          <w:rFonts w:ascii="Times New Roman" w:hAnsi="Times New Roman"/>
          <w:b w:val="false"/>
          <w:i w:val="false"/>
          <w:color w:val="000000"/>
          <w:sz w:val="22"/>
        </w:rPr>
        <w:t>Curtain wall installation—contractors</w:t>
      </w:r>
    </w:p>
    <w:p>
      <w:pPr>
        <w:spacing w:before="0" w:after="0"/>
        <w:ind w:left="120"/>
        <w:jc w:val="both"/>
      </w:pPr>
      <w:r>
        <w:rPr>
          <w:rFonts w:ascii="Times New Roman" w:hAnsi="Times New Roman"/>
          <w:b w:val="false"/>
          <w:i w:val="false"/>
          <w:color w:val="000000"/>
          <w:sz w:val="22"/>
        </w:rPr>
        <w:t>Elevator front installation, metal—contractors</w:t>
      </w:r>
    </w:p>
    <w:p>
      <w:pPr>
        <w:spacing w:before="0" w:after="0"/>
        <w:ind w:left="120"/>
        <w:jc w:val="both"/>
      </w:pPr>
      <w:r>
        <w:rPr>
          <w:rFonts w:ascii="Times New Roman" w:hAnsi="Times New Roman"/>
          <w:b w:val="false"/>
          <w:i w:val="false"/>
          <w:color w:val="000000"/>
          <w:sz w:val="22"/>
        </w:rPr>
        <w:t>Iron work, structural—contractors</w:t>
      </w:r>
    </w:p>
    <w:p>
      <w:pPr>
        <w:spacing w:before="0" w:after="0"/>
        <w:ind w:left="120"/>
        <w:jc w:val="both"/>
      </w:pPr>
      <w:r>
        <w:rPr>
          <w:rFonts w:ascii="Times New Roman" w:hAnsi="Times New Roman"/>
          <w:b w:val="false"/>
          <w:i w:val="false"/>
          <w:color w:val="000000"/>
          <w:sz w:val="22"/>
        </w:rPr>
        <w:t>Metal furring—contractors</w:t>
      </w:r>
    </w:p>
    <w:p>
      <w:pPr>
        <w:spacing w:before="0" w:after="0"/>
        <w:ind w:left="120"/>
        <w:jc w:val="both"/>
      </w:pPr>
      <w:r>
        <w:rPr>
          <w:rFonts w:ascii="Times New Roman" w:hAnsi="Times New Roman"/>
          <w:b w:val="false"/>
          <w:i w:val="false"/>
          <w:color w:val="000000"/>
          <w:sz w:val="22"/>
        </w:rPr>
        <w:t>Steel work, structural—contractors</w:t>
      </w:r>
    </w:p>
    <w:p>
      <w:pPr>
        <w:spacing w:before="0" w:after="0"/>
        <w:ind w:left="120"/>
        <w:jc w:val="both"/>
      </w:pPr>
      <w:r>
        <w:rPr>
          <w:rFonts w:ascii="Times New Roman" w:hAnsi="Times New Roman"/>
          <w:b w:val="false"/>
          <w:i w:val="false"/>
          <w:color w:val="000000"/>
          <w:sz w:val="22"/>
        </w:rPr>
        <w:t>Storage tanks, metal; erection—contractors</w:t>
      </w:r>
    </w:p>
    <w:p>
      <w:pPr>
        <w:spacing w:before="0" w:after="0"/>
        <w:ind w:left="120"/>
        <w:jc w:val="both"/>
      </w:pPr>
      <w:r>
        <w:rPr>
          <w:rFonts w:ascii="Times New Roman" w:hAnsi="Times New Roman"/>
          <w:b w:val="false"/>
          <w:i w:val="false"/>
          <w:color w:val="000000"/>
          <w:sz w:val="22"/>
        </w:rPr>
        <w:t>Storefront installation, metal—contractors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Glass and glazing contractors. Establishments primarily engaged in installing glass or tinting glass. The glass work performed includes new work, additions, alterations, and maintenance and repairs.</w:t>
      </w:r>
    </w:p>
    <w:p>
      <w:pPr>
        <w:spacing w:before="0" w:after="0"/>
        <w:ind w:left="120"/>
        <w:jc w:val="both"/>
      </w:pPr>
      <w:r>
        <w:rPr>
          <w:rFonts w:ascii="Times New Roman" w:hAnsi="Times New Roman"/>
          <w:b w:val="false"/>
          <w:i w:val="false"/>
          <w:color w:val="000000"/>
          <w:sz w:val="22"/>
        </w:rPr>
        <w:t>Glass installation, except automotive—contractors</w:t>
      </w:r>
    </w:p>
    <w:p>
      <w:pPr>
        <w:spacing w:before="0" w:after="0"/>
        <w:ind w:left="120"/>
        <w:jc w:val="both"/>
      </w:pPr>
      <w:r>
        <w:rPr>
          <w:rFonts w:ascii="Times New Roman" w:hAnsi="Times New Roman"/>
          <w:b w:val="false"/>
          <w:i w:val="false"/>
          <w:color w:val="000000"/>
          <w:sz w:val="22"/>
        </w:rPr>
        <w:t>Glass work, except automotive—contractors</w:t>
      </w:r>
    </w:p>
    <w:p>
      <w:pPr>
        <w:spacing w:before="0" w:after="0"/>
        <w:ind w:left="120"/>
        <w:jc w:val="both"/>
      </w:pPr>
      <w:r>
        <w:rPr>
          <w:rFonts w:ascii="Times New Roman" w:hAnsi="Times New Roman"/>
          <w:b w:val="false"/>
          <w:i w:val="false"/>
          <w:color w:val="000000"/>
          <w:sz w:val="22"/>
        </w:rPr>
        <w:t>Glazing work—contractors</w:t>
      </w:r>
    </w:p>
    <w:p>
      <w:pPr>
        <w:spacing w:before="0" w:after="0"/>
        <w:ind w:left="120"/>
        <w:jc w:val="both"/>
      </w:pPr>
      <w:r>
        <w:rPr>
          <w:rFonts w:ascii="Times New Roman" w:hAnsi="Times New Roman"/>
          <w:b w:val="false"/>
          <w:i w:val="false"/>
          <w:color w:val="000000"/>
          <w:sz w:val="22"/>
        </w:rPr>
        <w:t>Tinting glass—contractors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Excavation contractors. Establishments primarily engaged in preparing land for building construction. The excavation work performed includes new work, additions, alterations, and repairs.</w:t>
      </w:r>
    </w:p>
    <w:p>
      <w:pPr>
        <w:spacing w:before="0" w:after="0"/>
        <w:ind w:left="120"/>
        <w:jc w:val="both"/>
      </w:pPr>
      <w:r>
        <w:rPr>
          <w:rFonts w:ascii="Times New Roman" w:hAnsi="Times New Roman"/>
          <w:b w:val="false"/>
          <w:i w:val="false"/>
          <w:color w:val="000000"/>
          <w:sz w:val="22"/>
        </w:rPr>
        <w:t>Excavation work—contractors</w:t>
      </w:r>
    </w:p>
    <w:p>
      <w:pPr>
        <w:spacing w:before="0" w:after="0"/>
        <w:ind w:left="120"/>
        <w:jc w:val="both"/>
      </w:pPr>
      <w:r>
        <w:rPr>
          <w:rFonts w:ascii="Times New Roman" w:hAnsi="Times New Roman"/>
          <w:b w:val="false"/>
          <w:i w:val="false"/>
          <w:color w:val="000000"/>
          <w:sz w:val="22"/>
        </w:rPr>
        <w:t>Foundation digging (excavation)—contractors</w:t>
      </w:r>
    </w:p>
    <w:p>
      <w:pPr>
        <w:spacing w:before="0" w:after="0"/>
        <w:ind w:left="120"/>
        <w:jc w:val="both"/>
      </w:pPr>
      <w:r>
        <w:rPr>
          <w:rFonts w:ascii="Times New Roman" w:hAnsi="Times New Roman"/>
          <w:b w:val="false"/>
          <w:i w:val="false"/>
          <w:color w:val="000000"/>
          <w:sz w:val="22"/>
        </w:rPr>
        <w:t>Grading: except for highways, streets and airport runways—contractors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Wrecking and demolition contractors. Establishments primarily engaged in wrecking and demolition of buildings and other structures.</w:t>
      </w:r>
    </w:p>
    <w:p>
      <w:pPr>
        <w:spacing w:before="0" w:after="0"/>
        <w:ind w:left="120"/>
        <w:jc w:val="both"/>
      </w:pPr>
      <w:r>
        <w:rPr>
          <w:rFonts w:ascii="Times New Roman" w:hAnsi="Times New Roman"/>
          <w:b w:val="false"/>
          <w:i w:val="false"/>
          <w:color w:val="000000"/>
          <w:sz w:val="22"/>
        </w:rPr>
        <w:t>Concrete breaking for streets and highways—contractors</w:t>
      </w:r>
    </w:p>
    <w:p>
      <w:pPr>
        <w:spacing w:before="0" w:after="0"/>
        <w:ind w:left="120"/>
        <w:jc w:val="both"/>
      </w:pPr>
      <w:r>
        <w:rPr>
          <w:rFonts w:ascii="Times New Roman" w:hAnsi="Times New Roman"/>
          <w:b w:val="false"/>
          <w:i w:val="false"/>
          <w:color w:val="000000"/>
          <w:sz w:val="22"/>
        </w:rPr>
        <w:t>Demolition of buildings or other structures, except marine—contractors</w:t>
      </w:r>
    </w:p>
    <w:p>
      <w:pPr>
        <w:spacing w:before="0" w:after="0"/>
        <w:ind w:left="120"/>
        <w:jc w:val="both"/>
      </w:pPr>
      <w:r>
        <w:rPr>
          <w:rFonts w:ascii="Times New Roman" w:hAnsi="Times New Roman"/>
          <w:b w:val="false"/>
          <w:i w:val="false"/>
          <w:color w:val="000000"/>
          <w:sz w:val="22"/>
        </w:rPr>
        <w:t>Dismantling steel oil tanks, except oil field work—contractors</w:t>
      </w:r>
    </w:p>
    <w:p>
      <w:pPr>
        <w:spacing w:before="0" w:after="0"/>
        <w:ind w:left="120"/>
        <w:jc w:val="both"/>
      </w:pPr>
      <w:r>
        <w:rPr>
          <w:rFonts w:ascii="Times New Roman" w:hAnsi="Times New Roman"/>
          <w:b w:val="false"/>
          <w:i w:val="false"/>
          <w:color w:val="000000"/>
          <w:sz w:val="22"/>
        </w:rPr>
        <w:t>Underground tank removal—contractors</w:t>
      </w:r>
    </w:p>
    <w:p>
      <w:pPr>
        <w:spacing w:before="0" w:after="0"/>
        <w:ind w:left="120"/>
        <w:jc w:val="both"/>
      </w:pPr>
      <w:r>
        <w:rPr>
          <w:rFonts w:ascii="Times New Roman" w:hAnsi="Times New Roman"/>
          <w:b w:val="false"/>
          <w:i w:val="false"/>
          <w:color w:val="000000"/>
          <w:sz w:val="22"/>
        </w:rPr>
        <w:t>Wrecking of building or other structures, except marine—contractors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Building equipment and other machinery installation contractors. Establishments primarily engaged in one or more of the following: (1) the installation or dismantling of building equipment, machinery or other industrial equipment; (2) machine rigging; and (3) millwrighting. The building equipment and other machinery installation work performed includes new work, additions, alterations, and maintenance and repairs.</w:t>
      </w:r>
    </w:p>
    <w:p>
      <w:pPr>
        <w:spacing w:before="0" w:after="0"/>
        <w:ind w:left="120"/>
        <w:jc w:val="both"/>
      </w:pPr>
      <w:r>
        <w:rPr>
          <w:rFonts w:ascii="Times New Roman" w:hAnsi="Times New Roman"/>
          <w:b w:val="false"/>
          <w:i w:val="false"/>
          <w:color w:val="000000"/>
          <w:sz w:val="22"/>
        </w:rPr>
        <w:t>Conveyor system installation—contractors</w:t>
      </w:r>
    </w:p>
    <w:p>
      <w:pPr>
        <w:spacing w:before="0" w:after="0"/>
        <w:ind w:left="120"/>
        <w:jc w:val="both"/>
      </w:pPr>
      <w:r>
        <w:rPr>
          <w:rFonts w:ascii="Times New Roman" w:hAnsi="Times New Roman"/>
          <w:b w:val="false"/>
          <w:i w:val="false"/>
          <w:color w:val="000000"/>
          <w:sz w:val="22"/>
        </w:rPr>
        <w:t>Dismantling of machinery and other industrial equipment—contractors</w:t>
      </w:r>
    </w:p>
    <w:p>
      <w:pPr>
        <w:spacing w:before="0" w:after="0"/>
        <w:ind w:left="120"/>
        <w:jc w:val="both"/>
      </w:pPr>
      <w:r>
        <w:rPr>
          <w:rFonts w:ascii="Times New Roman" w:hAnsi="Times New Roman"/>
          <w:b w:val="false"/>
          <w:i w:val="false"/>
          <w:color w:val="000000"/>
          <w:sz w:val="22"/>
        </w:rPr>
        <w:t>Dumbwaiter installation—contractors</w:t>
      </w:r>
    </w:p>
    <w:p>
      <w:pPr>
        <w:spacing w:before="0" w:after="0"/>
        <w:ind w:left="120"/>
        <w:jc w:val="both"/>
      </w:pPr>
      <w:r>
        <w:rPr>
          <w:rFonts w:ascii="Times New Roman" w:hAnsi="Times New Roman"/>
          <w:b w:val="false"/>
          <w:i w:val="false"/>
          <w:color w:val="000000"/>
          <w:sz w:val="22"/>
        </w:rPr>
        <w:t>Dust collecting equipment installation—contractors</w:t>
      </w:r>
    </w:p>
    <w:p>
      <w:pPr>
        <w:spacing w:before="0" w:after="0"/>
        <w:ind w:left="120"/>
        <w:jc w:val="both"/>
      </w:pPr>
      <w:r>
        <w:rPr>
          <w:rFonts w:ascii="Times New Roman" w:hAnsi="Times New Roman"/>
          <w:b w:val="false"/>
          <w:i w:val="false"/>
          <w:color w:val="000000"/>
          <w:sz w:val="22"/>
        </w:rPr>
        <w:t>Elevator installation, conversion, and repair—contractors</w:t>
      </w:r>
    </w:p>
    <w:p>
      <w:pPr>
        <w:spacing w:before="0" w:after="0"/>
        <w:ind w:left="120"/>
        <w:jc w:val="both"/>
      </w:pPr>
      <w:r>
        <w:rPr>
          <w:rFonts w:ascii="Times New Roman" w:hAnsi="Times New Roman"/>
          <w:b w:val="false"/>
          <w:i w:val="false"/>
          <w:color w:val="000000"/>
          <w:sz w:val="22"/>
        </w:rPr>
        <w:t>Incinerator installation, small—contractors</w:t>
      </w:r>
    </w:p>
    <w:p>
      <w:pPr>
        <w:spacing w:before="0" w:after="0"/>
        <w:ind w:left="120"/>
        <w:jc w:val="both"/>
      </w:pPr>
      <w:r>
        <w:rPr>
          <w:rFonts w:ascii="Times New Roman" w:hAnsi="Times New Roman"/>
          <w:b w:val="false"/>
          <w:i w:val="false"/>
          <w:color w:val="000000"/>
          <w:sz w:val="22"/>
        </w:rPr>
        <w:t>Installation of machinery and other industrial equipment—contractors</w:t>
      </w:r>
    </w:p>
    <w:p>
      <w:pPr>
        <w:spacing w:before="0" w:after="0"/>
        <w:ind w:left="120"/>
        <w:jc w:val="both"/>
      </w:pPr>
      <w:r>
        <w:rPr>
          <w:rFonts w:ascii="Times New Roman" w:hAnsi="Times New Roman"/>
          <w:b w:val="false"/>
          <w:i w:val="false"/>
          <w:color w:val="000000"/>
          <w:sz w:val="22"/>
        </w:rPr>
        <w:t>Machine rigging—contractors</w:t>
      </w:r>
    </w:p>
    <w:p>
      <w:pPr>
        <w:spacing w:before="0" w:after="0"/>
        <w:ind w:left="120"/>
        <w:jc w:val="both"/>
      </w:pPr>
      <w:r>
        <w:rPr>
          <w:rFonts w:ascii="Times New Roman" w:hAnsi="Times New Roman"/>
          <w:b w:val="false"/>
          <w:i w:val="false"/>
          <w:color w:val="000000"/>
          <w:sz w:val="22"/>
        </w:rPr>
        <w:t>Millwrights</w:t>
      </w:r>
    </w:p>
    <w:p>
      <w:pPr>
        <w:spacing w:before="0" w:after="0"/>
        <w:ind w:left="120"/>
        <w:jc w:val="both"/>
      </w:pPr>
      <w:r>
        <w:rPr>
          <w:rFonts w:ascii="Times New Roman" w:hAnsi="Times New Roman"/>
          <w:b w:val="false"/>
          <w:i w:val="false"/>
          <w:color w:val="000000"/>
          <w:sz w:val="22"/>
        </w:rPr>
        <w:t>Pneumatic tube system installation—contractors</w:t>
      </w:r>
    </w:p>
    <w:p>
      <w:pPr>
        <w:spacing w:before="0" w:after="0"/>
        <w:ind w:left="120"/>
        <w:jc w:val="both"/>
      </w:pPr>
      <w:r>
        <w:rPr>
          <w:rFonts w:ascii="Times New Roman" w:hAnsi="Times New Roman"/>
          <w:b w:val="false"/>
          <w:i w:val="false"/>
          <w:color w:val="000000"/>
          <w:sz w:val="22"/>
        </w:rPr>
        <w:t>Power generating equipment installation—contractors</w:t>
      </w:r>
    </w:p>
    <w:p>
      <w:pPr>
        <w:spacing w:before="0" w:after="0"/>
        <w:ind w:left="120"/>
        <w:jc w:val="both"/>
      </w:pPr>
      <w:r>
        <w:rPr>
          <w:rFonts w:ascii="Times New Roman" w:hAnsi="Times New Roman"/>
          <w:b w:val="false"/>
          <w:i w:val="false"/>
          <w:color w:val="000000"/>
          <w:sz w:val="22"/>
        </w:rPr>
        <w:t>Revolving door installation—contractors</w:t>
      </w:r>
    </w:p>
    <w:p>
      <w:pPr>
        <w:spacing w:before="0" w:after="0"/>
        <w:ind w:left="120"/>
        <w:jc w:val="both"/>
      </w:pPr>
      <w:r>
        <w:rPr>
          <w:rFonts w:ascii="Times New Roman" w:hAnsi="Times New Roman"/>
          <w:b w:val="false"/>
          <w:i w:val="false"/>
          <w:color w:val="000000"/>
          <w:sz w:val="22"/>
        </w:rPr>
        <w:t>Vacuum cleaning systems, built-in—contractors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All other special trade contractors. Establishments primarily engaged in specialized construction work. The other specialized work performed includes new work, additions, alterations, and maintenance and repairs.</w:t>
      </w:r>
    </w:p>
    <w:p>
      <w:pPr>
        <w:spacing w:before="0" w:after="0"/>
        <w:ind w:left="120"/>
        <w:jc w:val="both"/>
      </w:pPr>
      <w:r>
        <w:rPr>
          <w:rFonts w:ascii="Times New Roman" w:hAnsi="Times New Roman"/>
          <w:b w:val="false"/>
          <w:i w:val="false"/>
          <w:color w:val="000000"/>
          <w:sz w:val="22"/>
        </w:rPr>
        <w:t>Antenna installation, except household type—contractors</w:t>
      </w:r>
    </w:p>
    <w:p>
      <w:pPr>
        <w:spacing w:before="0" w:after="0"/>
        <w:ind w:left="120"/>
        <w:jc w:val="both"/>
      </w:pPr>
      <w:r>
        <w:rPr>
          <w:rFonts w:ascii="Times New Roman" w:hAnsi="Times New Roman"/>
          <w:b w:val="false"/>
          <w:i w:val="false"/>
          <w:color w:val="000000"/>
          <w:sz w:val="22"/>
        </w:rPr>
        <w:t>Artificial turf installation—contractors</w:t>
      </w:r>
    </w:p>
    <w:p>
      <w:pPr>
        <w:spacing w:before="0" w:after="0"/>
        <w:ind w:left="120"/>
        <w:jc w:val="both"/>
      </w:pPr>
      <w:r>
        <w:rPr>
          <w:rFonts w:ascii="Times New Roman" w:hAnsi="Times New Roman"/>
          <w:b w:val="false"/>
          <w:i w:val="false"/>
          <w:color w:val="000000"/>
          <w:sz w:val="22"/>
        </w:rPr>
        <w:t>Awning installation—contractors</w:t>
      </w:r>
    </w:p>
    <w:p>
      <w:pPr>
        <w:spacing w:before="0" w:after="0"/>
        <w:ind w:left="120"/>
        <w:jc w:val="both"/>
      </w:pPr>
      <w:r>
        <w:rPr>
          <w:rFonts w:ascii="Times New Roman" w:hAnsi="Times New Roman"/>
          <w:b w:val="false"/>
          <w:i w:val="false"/>
          <w:color w:val="000000"/>
          <w:sz w:val="22"/>
        </w:rPr>
        <w:t>Bathtub refinishing—contractors</w:t>
      </w:r>
    </w:p>
    <w:p>
      <w:pPr>
        <w:spacing w:before="0" w:after="0"/>
        <w:ind w:left="120"/>
        <w:jc w:val="both"/>
      </w:pPr>
      <w:r>
        <w:rPr>
          <w:rFonts w:ascii="Times New Roman" w:hAnsi="Times New Roman"/>
          <w:b w:val="false"/>
          <w:i w:val="false"/>
          <w:color w:val="000000"/>
          <w:sz w:val="22"/>
        </w:rPr>
        <w:t>Boring for building construction—contractors</w:t>
      </w:r>
    </w:p>
    <w:p>
      <w:pPr>
        <w:spacing w:before="0" w:after="0"/>
        <w:ind w:left="120"/>
        <w:jc w:val="both"/>
      </w:pPr>
      <w:r>
        <w:rPr>
          <w:rFonts w:ascii="Times New Roman" w:hAnsi="Times New Roman"/>
          <w:b w:val="false"/>
          <w:i w:val="false"/>
          <w:color w:val="000000"/>
          <w:sz w:val="22"/>
        </w:rPr>
        <w:t>Bowling alley installation and service—contractors</w:t>
      </w:r>
    </w:p>
    <w:p>
      <w:pPr>
        <w:spacing w:before="0" w:after="0"/>
        <w:ind w:left="120"/>
        <w:jc w:val="both"/>
      </w:pPr>
      <w:r>
        <w:rPr>
          <w:rFonts w:ascii="Times New Roman" w:hAnsi="Times New Roman"/>
          <w:b w:val="false"/>
          <w:i w:val="false"/>
          <w:color w:val="000000"/>
          <w:sz w:val="22"/>
        </w:rPr>
        <w:t>Cable splicing service, nonelectrical—contractors</w:t>
      </w:r>
    </w:p>
    <w:p>
      <w:pPr>
        <w:spacing w:before="0" w:after="0"/>
        <w:ind w:left="120"/>
        <w:jc w:val="both"/>
      </w:pPr>
      <w:r>
        <w:rPr>
          <w:rFonts w:ascii="Times New Roman" w:hAnsi="Times New Roman"/>
          <w:b w:val="false"/>
          <w:i w:val="false"/>
          <w:color w:val="000000"/>
          <w:sz w:val="22"/>
        </w:rPr>
        <w:t>Caulking (construction)—contractors</w:t>
      </w:r>
    </w:p>
    <w:p>
      <w:pPr>
        <w:spacing w:before="0" w:after="0"/>
        <w:ind w:left="120"/>
        <w:jc w:val="both"/>
      </w:pPr>
      <w:r>
        <w:rPr>
          <w:rFonts w:ascii="Times New Roman" w:hAnsi="Times New Roman"/>
          <w:b w:val="false"/>
          <w:i w:val="false"/>
          <w:color w:val="000000"/>
          <w:sz w:val="22"/>
        </w:rPr>
        <w:t>Cleaning building exteriors—contractors</w:t>
      </w:r>
    </w:p>
    <w:p>
      <w:pPr>
        <w:spacing w:before="0" w:after="0"/>
        <w:ind w:left="120"/>
        <w:jc w:val="both"/>
      </w:pPr>
      <w:r>
        <w:rPr>
          <w:rFonts w:ascii="Times New Roman" w:hAnsi="Times New Roman"/>
          <w:b w:val="false"/>
          <w:i w:val="false"/>
          <w:color w:val="000000"/>
          <w:sz w:val="22"/>
        </w:rPr>
        <w:t>Cleaning new buildings after construction—contractors</w:t>
      </w:r>
    </w:p>
    <w:p>
      <w:pPr>
        <w:spacing w:before="0" w:after="0"/>
        <w:ind w:left="120"/>
        <w:jc w:val="both"/>
      </w:pPr>
      <w:r>
        <w:rPr>
          <w:rFonts w:ascii="Times New Roman" w:hAnsi="Times New Roman"/>
          <w:b w:val="false"/>
          <w:i w:val="false"/>
          <w:color w:val="000000"/>
          <w:sz w:val="22"/>
        </w:rPr>
        <w:t>Coating of concrete structures with plastic—contractors</w:t>
      </w:r>
    </w:p>
    <w:p>
      <w:pPr>
        <w:spacing w:before="0" w:after="0"/>
        <w:ind w:left="120"/>
        <w:jc w:val="both"/>
      </w:pPr>
      <w:r>
        <w:rPr>
          <w:rFonts w:ascii="Times New Roman" w:hAnsi="Times New Roman"/>
          <w:b w:val="false"/>
          <w:i w:val="false"/>
          <w:color w:val="000000"/>
          <w:sz w:val="22"/>
        </w:rPr>
        <w:t>Core drilling for building construction—contractors</w:t>
      </w:r>
    </w:p>
    <w:p>
      <w:pPr>
        <w:spacing w:before="0" w:after="0"/>
        <w:ind w:left="120"/>
        <w:jc w:val="both"/>
      </w:pPr>
      <w:r>
        <w:rPr>
          <w:rFonts w:ascii="Times New Roman" w:hAnsi="Times New Roman"/>
          <w:b w:val="false"/>
          <w:i w:val="false"/>
          <w:color w:val="000000"/>
          <w:sz w:val="22"/>
        </w:rPr>
        <w:t>Countertop installation—contractors</w:t>
      </w:r>
    </w:p>
    <w:p>
      <w:pPr>
        <w:spacing w:before="0" w:after="0"/>
        <w:ind w:left="120"/>
        <w:jc w:val="both"/>
      </w:pPr>
      <w:r>
        <w:rPr>
          <w:rFonts w:ascii="Times New Roman" w:hAnsi="Times New Roman"/>
          <w:b w:val="false"/>
          <w:i w:val="false"/>
          <w:color w:val="000000"/>
          <w:sz w:val="22"/>
        </w:rPr>
        <w:t>Dampproofing buildings—contractors</w:t>
      </w:r>
    </w:p>
    <w:p>
      <w:pPr>
        <w:spacing w:before="0" w:after="0"/>
        <w:ind w:left="120"/>
        <w:jc w:val="both"/>
      </w:pPr>
      <w:r>
        <w:rPr>
          <w:rFonts w:ascii="Times New Roman" w:hAnsi="Times New Roman"/>
          <w:b w:val="false"/>
          <w:i w:val="false"/>
          <w:color w:val="000000"/>
          <w:sz w:val="22"/>
        </w:rPr>
        <w:t>Dewatering—contractors</w:t>
      </w:r>
    </w:p>
    <w:p>
      <w:pPr>
        <w:spacing w:before="0" w:after="0"/>
        <w:ind w:left="120"/>
        <w:jc w:val="both"/>
      </w:pPr>
      <w:r>
        <w:rPr>
          <w:rFonts w:ascii="Times New Roman" w:hAnsi="Times New Roman"/>
          <w:b w:val="false"/>
          <w:i w:val="false"/>
          <w:color w:val="000000"/>
          <w:sz w:val="22"/>
        </w:rPr>
        <w:t>Diamond drilling for building construction—contractors</w:t>
      </w:r>
    </w:p>
    <w:p>
      <w:pPr>
        <w:spacing w:before="0" w:after="0"/>
        <w:ind w:left="120"/>
        <w:jc w:val="both"/>
      </w:pPr>
      <w:r>
        <w:rPr>
          <w:rFonts w:ascii="Times New Roman" w:hAnsi="Times New Roman"/>
          <w:b w:val="false"/>
          <w:i w:val="false"/>
          <w:color w:val="000000"/>
          <w:sz w:val="22"/>
        </w:rPr>
        <w:t>Epoxy application—contractors</w:t>
      </w:r>
    </w:p>
    <w:p>
      <w:pPr>
        <w:spacing w:before="0" w:after="0"/>
        <w:ind w:left="120"/>
        <w:jc w:val="both"/>
      </w:pPr>
      <w:r>
        <w:rPr>
          <w:rFonts w:ascii="Times New Roman" w:hAnsi="Times New Roman"/>
          <w:b w:val="false"/>
          <w:i w:val="false"/>
          <w:color w:val="000000"/>
          <w:sz w:val="22"/>
        </w:rPr>
        <w:t>Erection and dismantling of forms for poured concrete—contractors</w:t>
      </w:r>
    </w:p>
    <w:p>
      <w:pPr>
        <w:spacing w:before="0" w:after="0"/>
        <w:ind w:left="120"/>
        <w:jc w:val="both"/>
      </w:pPr>
      <w:r>
        <w:rPr>
          <w:rFonts w:ascii="Times New Roman" w:hAnsi="Times New Roman"/>
          <w:b w:val="false"/>
          <w:i w:val="false"/>
          <w:color w:val="000000"/>
          <w:sz w:val="22"/>
        </w:rPr>
        <w:t>Fence construction—contractors</w:t>
      </w:r>
    </w:p>
    <w:p>
      <w:pPr>
        <w:spacing w:before="0" w:after="0"/>
        <w:ind w:left="120"/>
        <w:jc w:val="both"/>
      </w:pPr>
      <w:r>
        <w:rPr>
          <w:rFonts w:ascii="Times New Roman" w:hAnsi="Times New Roman"/>
          <w:b w:val="false"/>
          <w:i w:val="false"/>
          <w:color w:val="000000"/>
          <w:sz w:val="22"/>
        </w:rPr>
        <w:t>Fire escape installation—contractors</w:t>
      </w:r>
    </w:p>
    <w:p>
      <w:pPr>
        <w:spacing w:before="0" w:after="0"/>
        <w:ind w:left="120"/>
        <w:jc w:val="both"/>
      </w:pPr>
      <w:r>
        <w:rPr>
          <w:rFonts w:ascii="Times New Roman" w:hAnsi="Times New Roman"/>
          <w:b w:val="false"/>
          <w:i w:val="false"/>
          <w:color w:val="000000"/>
          <w:sz w:val="22"/>
        </w:rPr>
        <w:t>Fireproofing buildings—contractors</w:t>
      </w:r>
    </w:p>
    <w:p>
      <w:pPr>
        <w:spacing w:before="0" w:after="0"/>
        <w:ind w:left="120"/>
        <w:jc w:val="both"/>
      </w:pPr>
      <w:r>
        <w:rPr>
          <w:rFonts w:ascii="Times New Roman" w:hAnsi="Times New Roman"/>
          <w:b w:val="false"/>
          <w:i w:val="false"/>
          <w:color w:val="000000"/>
          <w:sz w:val="22"/>
        </w:rPr>
        <w:t>Forms for poured concrete, erection and dismantling—contractors</w:t>
      </w:r>
    </w:p>
    <w:p>
      <w:pPr>
        <w:spacing w:before="0" w:after="0"/>
        <w:ind w:left="120"/>
        <w:jc w:val="both"/>
      </w:pPr>
      <w:r>
        <w:rPr>
          <w:rFonts w:ascii="Times New Roman" w:hAnsi="Times New Roman"/>
          <w:b w:val="false"/>
          <w:i w:val="false"/>
          <w:color w:val="000000"/>
          <w:sz w:val="22"/>
        </w:rPr>
        <w:t>Gas leakage detection—contractors</w:t>
      </w:r>
    </w:p>
    <w:p>
      <w:pPr>
        <w:spacing w:before="0" w:after="0"/>
        <w:ind w:left="120"/>
        <w:jc w:val="both"/>
      </w:pPr>
      <w:r>
        <w:rPr>
          <w:rFonts w:ascii="Times New Roman" w:hAnsi="Times New Roman"/>
          <w:b w:val="false"/>
          <w:i w:val="false"/>
          <w:color w:val="000000"/>
          <w:sz w:val="22"/>
        </w:rPr>
        <w:t>Gasoline pump installation—contractors</w:t>
      </w:r>
    </w:p>
    <w:p>
      <w:pPr>
        <w:spacing w:before="0" w:after="0"/>
        <w:ind w:left="120"/>
        <w:jc w:val="both"/>
      </w:pPr>
      <w:r>
        <w:rPr>
          <w:rFonts w:ascii="Times New Roman" w:hAnsi="Times New Roman"/>
          <w:b w:val="false"/>
          <w:i w:val="false"/>
          <w:color w:val="000000"/>
          <w:sz w:val="22"/>
        </w:rPr>
        <w:t>Glazing of concrete surfaces—contractors</w:t>
      </w:r>
    </w:p>
    <w:p>
      <w:pPr>
        <w:spacing w:before="0" w:after="0"/>
        <w:ind w:left="120"/>
        <w:jc w:val="both"/>
      </w:pPr>
      <w:r>
        <w:rPr>
          <w:rFonts w:ascii="Times New Roman" w:hAnsi="Times New Roman"/>
          <w:b w:val="false"/>
          <w:i w:val="false"/>
          <w:color w:val="000000"/>
          <w:sz w:val="22"/>
        </w:rPr>
        <w:t>Grave excavation—contractors</w:t>
      </w:r>
    </w:p>
    <w:p>
      <w:pPr>
        <w:spacing w:before="0" w:after="0"/>
        <w:ind w:left="120"/>
        <w:jc w:val="both"/>
      </w:pPr>
      <w:r>
        <w:rPr>
          <w:rFonts w:ascii="Times New Roman" w:hAnsi="Times New Roman"/>
          <w:b w:val="false"/>
          <w:i w:val="false"/>
          <w:color w:val="000000"/>
          <w:sz w:val="22"/>
        </w:rPr>
        <w:t>House moving—contractors</w:t>
      </w:r>
    </w:p>
    <w:p>
      <w:pPr>
        <w:spacing w:before="0" w:after="0"/>
        <w:ind w:left="120"/>
        <w:jc w:val="both"/>
      </w:pPr>
      <w:r>
        <w:rPr>
          <w:rFonts w:ascii="Times New Roman" w:hAnsi="Times New Roman"/>
          <w:b w:val="false"/>
          <w:i w:val="false"/>
          <w:color w:val="000000"/>
          <w:sz w:val="22"/>
        </w:rPr>
        <w:t>Insulation of pipes and boilers—contractors</w:t>
      </w:r>
    </w:p>
    <w:p>
      <w:pPr>
        <w:spacing w:before="0" w:after="0"/>
        <w:ind w:left="120"/>
        <w:jc w:val="both"/>
      </w:pPr>
      <w:r>
        <w:rPr>
          <w:rFonts w:ascii="Times New Roman" w:hAnsi="Times New Roman"/>
          <w:b w:val="false"/>
          <w:i w:val="false"/>
          <w:color w:val="000000"/>
          <w:sz w:val="22"/>
        </w:rPr>
        <w:t>Lead burning—contractors</w:t>
      </w:r>
    </w:p>
    <w:p>
      <w:pPr>
        <w:spacing w:before="0" w:after="0"/>
        <w:ind w:left="120"/>
        <w:jc w:val="both"/>
      </w:pPr>
      <w:r>
        <w:rPr>
          <w:rFonts w:ascii="Times New Roman" w:hAnsi="Times New Roman"/>
          <w:b w:val="false"/>
          <w:i w:val="false"/>
          <w:color w:val="000000"/>
          <w:sz w:val="22"/>
        </w:rPr>
        <w:t>Lightning conductor erection—contractors</w:t>
      </w:r>
    </w:p>
    <w:p>
      <w:pPr>
        <w:spacing w:before="0" w:after="0"/>
        <w:ind w:left="120"/>
        <w:jc w:val="both"/>
      </w:pPr>
      <w:r>
        <w:rPr>
          <w:rFonts w:ascii="Times New Roman" w:hAnsi="Times New Roman"/>
          <w:b w:val="false"/>
          <w:i w:val="false"/>
          <w:color w:val="000000"/>
          <w:sz w:val="22"/>
        </w:rPr>
        <w:t>Mobile home site setup and tie down—contractors</w:t>
      </w:r>
    </w:p>
    <w:p>
      <w:pPr>
        <w:spacing w:before="0" w:after="0"/>
        <w:ind w:left="120"/>
        <w:jc w:val="both"/>
      </w:pPr>
      <w:r>
        <w:rPr>
          <w:rFonts w:ascii="Times New Roman" w:hAnsi="Times New Roman"/>
          <w:b w:val="false"/>
          <w:i w:val="false"/>
          <w:color w:val="000000"/>
          <w:sz w:val="22"/>
        </w:rPr>
        <w:t>Ornamental metal work—contractors</w:t>
      </w:r>
    </w:p>
    <w:p>
      <w:pPr>
        <w:spacing w:before="0" w:after="0"/>
        <w:ind w:left="120"/>
        <w:jc w:val="both"/>
      </w:pPr>
      <w:r>
        <w:rPr>
          <w:rFonts w:ascii="Times New Roman" w:hAnsi="Times New Roman"/>
          <w:b w:val="false"/>
          <w:i w:val="false"/>
          <w:color w:val="000000"/>
          <w:sz w:val="22"/>
        </w:rPr>
        <w:t>Paint and wallpaper stripping—contractors</w:t>
      </w:r>
    </w:p>
    <w:p>
      <w:pPr>
        <w:spacing w:before="0" w:after="0"/>
        <w:ind w:left="120"/>
        <w:jc w:val="both"/>
      </w:pPr>
      <w:r>
        <w:rPr>
          <w:rFonts w:ascii="Times New Roman" w:hAnsi="Times New Roman"/>
          <w:b w:val="false"/>
          <w:i w:val="false"/>
          <w:color w:val="000000"/>
          <w:sz w:val="22"/>
        </w:rPr>
        <w:t>Plastic wall tile installation—contractors</w:t>
      </w:r>
    </w:p>
    <w:p>
      <w:pPr>
        <w:spacing w:before="0" w:after="0"/>
        <w:ind w:left="120"/>
        <w:jc w:val="both"/>
      </w:pPr>
      <w:r>
        <w:rPr>
          <w:rFonts w:ascii="Times New Roman" w:hAnsi="Times New Roman"/>
          <w:b w:val="false"/>
          <w:i w:val="false"/>
          <w:color w:val="000000"/>
          <w:sz w:val="22"/>
        </w:rPr>
        <w:t>Posthole digging—contractors</w:t>
      </w:r>
    </w:p>
    <w:p>
      <w:pPr>
        <w:spacing w:before="0" w:after="0"/>
        <w:ind w:left="120"/>
        <w:jc w:val="both"/>
      </w:pPr>
      <w:r>
        <w:rPr>
          <w:rFonts w:ascii="Times New Roman" w:hAnsi="Times New Roman"/>
          <w:b w:val="false"/>
          <w:i w:val="false"/>
          <w:color w:val="000000"/>
          <w:sz w:val="22"/>
        </w:rPr>
        <w:t>Sandblasting of building exteriors—contractors</w:t>
      </w:r>
    </w:p>
    <w:p>
      <w:pPr>
        <w:spacing w:before="0" w:after="0"/>
        <w:ind w:left="120"/>
        <w:jc w:val="both"/>
      </w:pPr>
      <w:r>
        <w:rPr>
          <w:rFonts w:ascii="Times New Roman" w:hAnsi="Times New Roman"/>
          <w:b w:val="false"/>
          <w:i w:val="false"/>
          <w:color w:val="000000"/>
          <w:sz w:val="22"/>
        </w:rPr>
        <w:t>Scaffolding construction—contractors</w:t>
      </w:r>
    </w:p>
    <w:p>
      <w:pPr>
        <w:spacing w:before="0" w:after="0"/>
        <w:ind w:left="120"/>
        <w:jc w:val="both"/>
      </w:pPr>
      <w:r>
        <w:rPr>
          <w:rFonts w:ascii="Times New Roman" w:hAnsi="Times New Roman"/>
          <w:b w:val="false"/>
          <w:i w:val="false"/>
          <w:color w:val="000000"/>
          <w:sz w:val="22"/>
        </w:rPr>
        <w:t>Service and repair of broadcasting stations—contractors</w:t>
      </w:r>
    </w:p>
    <w:p>
      <w:pPr>
        <w:spacing w:before="0" w:after="0"/>
        <w:ind w:left="120"/>
        <w:jc w:val="both"/>
      </w:pPr>
      <w:r>
        <w:rPr>
          <w:rFonts w:ascii="Times New Roman" w:hAnsi="Times New Roman"/>
          <w:b w:val="false"/>
          <w:i w:val="false"/>
          <w:color w:val="000000"/>
          <w:sz w:val="22"/>
        </w:rPr>
        <w:t>Service station equipment installation, maintenance and repair—contractors</w:t>
      </w:r>
    </w:p>
    <w:p>
      <w:pPr>
        <w:spacing w:before="0" w:after="0"/>
        <w:ind w:left="120"/>
        <w:jc w:val="both"/>
      </w:pPr>
      <w:r>
        <w:rPr>
          <w:rFonts w:ascii="Times New Roman" w:hAnsi="Times New Roman"/>
          <w:b w:val="false"/>
          <w:i w:val="false"/>
          <w:color w:val="000000"/>
          <w:sz w:val="22"/>
        </w:rPr>
        <w:t>Shoring and underpinning work—contractors</w:t>
      </w:r>
    </w:p>
    <w:p>
      <w:pPr>
        <w:spacing w:before="0" w:after="0"/>
        <w:ind w:left="120"/>
        <w:jc w:val="both"/>
      </w:pPr>
      <w:r>
        <w:rPr>
          <w:rFonts w:ascii="Times New Roman" w:hAnsi="Times New Roman"/>
          <w:b w:val="false"/>
          <w:i w:val="false"/>
          <w:color w:val="000000"/>
          <w:sz w:val="22"/>
        </w:rPr>
        <w:t>Spectator seating installation—contractors</w:t>
      </w:r>
    </w:p>
    <w:p>
      <w:pPr>
        <w:spacing w:before="0" w:after="0"/>
        <w:ind w:left="120"/>
        <w:jc w:val="both"/>
      </w:pPr>
      <w:r>
        <w:rPr>
          <w:rFonts w:ascii="Times New Roman" w:hAnsi="Times New Roman"/>
          <w:b w:val="false"/>
          <w:i w:val="false"/>
          <w:color w:val="000000"/>
          <w:sz w:val="22"/>
        </w:rPr>
        <w:t>Steam cleaning of building exteriors—contractors</w:t>
      </w:r>
    </w:p>
    <w:p>
      <w:pPr>
        <w:spacing w:before="0" w:after="0"/>
        <w:ind w:left="120"/>
        <w:jc w:val="both"/>
      </w:pPr>
      <w:r>
        <w:rPr>
          <w:rFonts w:ascii="Times New Roman" w:hAnsi="Times New Roman"/>
          <w:b w:val="false"/>
          <w:i w:val="false"/>
          <w:color w:val="000000"/>
          <w:sz w:val="22"/>
        </w:rPr>
        <w:t>Steeplejacks</w:t>
      </w:r>
    </w:p>
    <w:p>
      <w:pPr>
        <w:spacing w:before="0" w:after="0"/>
        <w:ind w:left="120"/>
        <w:jc w:val="both"/>
      </w:pPr>
      <w:r>
        <w:rPr>
          <w:rFonts w:ascii="Times New Roman" w:hAnsi="Times New Roman"/>
          <w:b w:val="false"/>
          <w:i w:val="false"/>
          <w:color w:val="000000"/>
          <w:sz w:val="22"/>
        </w:rPr>
        <w:t>Swimming pool construction—contractors</w:t>
      </w:r>
    </w:p>
    <w:p>
      <w:pPr>
        <w:spacing w:before="0" w:after="0"/>
        <w:ind w:left="120"/>
        <w:jc w:val="both"/>
      </w:pPr>
      <w:r>
        <w:rPr>
          <w:rFonts w:ascii="Times New Roman" w:hAnsi="Times New Roman"/>
          <w:b w:val="false"/>
          <w:i w:val="false"/>
          <w:color w:val="000000"/>
          <w:sz w:val="22"/>
        </w:rPr>
        <w:t>Television and radio stations, service and repair of—contractors</w:t>
      </w:r>
    </w:p>
    <w:p>
      <w:pPr>
        <w:spacing w:before="0" w:after="0"/>
        <w:ind w:left="120"/>
        <w:jc w:val="both"/>
      </w:pPr>
      <w:r>
        <w:rPr>
          <w:rFonts w:ascii="Times New Roman" w:hAnsi="Times New Roman"/>
          <w:b w:val="false"/>
          <w:i w:val="false"/>
          <w:color w:val="000000"/>
          <w:sz w:val="22"/>
        </w:rPr>
        <w:t>Test boring for construction—contractors</w:t>
      </w:r>
    </w:p>
    <w:p>
      <w:pPr>
        <w:spacing w:before="0" w:after="0"/>
        <w:ind w:left="120"/>
        <w:jc w:val="both"/>
      </w:pPr>
      <w:r>
        <w:rPr>
          <w:rFonts w:ascii="Times New Roman" w:hAnsi="Times New Roman"/>
          <w:b w:val="false"/>
          <w:i w:val="false"/>
          <w:color w:val="000000"/>
          <w:sz w:val="22"/>
        </w:rPr>
        <w:t>Tile installation, wall: plastics—contractors</w:t>
      </w:r>
    </w:p>
    <w:p>
      <w:pPr>
        <w:spacing w:before="0" w:after="0"/>
        <w:ind w:left="120"/>
        <w:jc w:val="both"/>
      </w:pPr>
      <w:r>
        <w:rPr>
          <w:rFonts w:ascii="Times New Roman" w:hAnsi="Times New Roman"/>
          <w:b w:val="false"/>
          <w:i w:val="false"/>
          <w:color w:val="000000"/>
          <w:sz w:val="22"/>
        </w:rPr>
        <w:t>Waterproofing—contractors</w:t>
      </w:r>
    </w:p>
    <w:p>
      <w:pPr>
        <w:spacing w:before="0" w:after="0"/>
        <w:ind w:left="120"/>
        <w:jc w:val="both"/>
      </w:pPr>
      <w:r>
        <w:rPr>
          <w:rFonts w:ascii="Times New Roman" w:hAnsi="Times New Roman"/>
          <w:b w:val="false"/>
          <w:i w:val="false"/>
          <w:color w:val="000000"/>
          <w:sz w:val="22"/>
        </w:rPr>
        <w:t>Weatherstripping—contractors</w:t>
      </w:r>
    </w:p>
    <w:p>
      <w:pPr>
        <w:spacing w:before="0" w:after="0"/>
        <w:ind w:left="120"/>
        <w:jc w:val="both"/>
      </w:pPr>
      <w:r>
        <w:rPr>
          <w:rFonts w:ascii="Times New Roman" w:hAnsi="Times New Roman"/>
          <w:b w:val="false"/>
          <w:i w:val="false"/>
          <w:color w:val="000000"/>
          <w:sz w:val="22"/>
        </w:rPr>
        <w:t>Welding contractors, operating at site of construction</w:t>
      </w:r>
    </w:p>
    <w:p>
      <w:pPr>
        <w:spacing w:before="0" w:after="0"/>
        <w:ind w:left="120"/>
        <w:jc w:val="both"/>
      </w:pPr>
      <w:r>
        <w:rPr>
          <w:rFonts w:ascii="Times New Roman" w:hAnsi="Times New Roman"/>
          <w:b w:val="false"/>
          <w:i w:val="false"/>
          <w:color w:val="000000"/>
          <w:sz w:val="22"/>
        </w:rPr>
        <w:t>Window shade installation—contractors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23.82(3)</w:t>
      </w:r>
      <w:r>
        <w:rPr>
          <w:rFonts w:ascii="Times New Roman" w:hAnsi="Times New Roman"/>
          <w:b w:val="false"/>
          <w:i w:val="false"/>
          <w:color w:val="000000"/>
          <w:sz w:val="22"/>
        </w:rPr>
        <w:t> </w:t>
      </w:r>
      <w:r>
        <w:rPr>
          <w:rFonts w:ascii="Times New Roman" w:hAnsi="Times New Roman"/>
          <w:b w:val="false"/>
          <w:i/>
          <w:color w:val="000000"/>
          <w:sz w:val="22"/>
        </w:rPr>
        <w:t xml:space="preserve">The assignment of standard industrial codes. </w:t>
      </w:r>
      <w:r>
        <w:rPr>
          <w:rFonts w:ascii="Times New Roman" w:hAnsi="Times New Roman"/>
          <w:b w:val="false"/>
          <w:i w:val="false"/>
          <w:color w:val="000000"/>
          <w:sz w:val="22"/>
        </w:rPr>
        <w:t>Each operating establishment is assigned an industry code on the basis of its primary activity, which is determined by its principal product or group of products produced or distributed, or services rendered. Ideally, the principal product or service should be determined by its relative share of value added at the establishment. Since this is not possible for all sectors of the economy, the following is used as a guide for determining industry codes:</w:t>
      </w:r>
    </w:p>
    <w:tbl>
      <w:tblPr>
        <w:tblW w:w="5000" w:type="pct"/>
        <w:tblCellSpacing w:w="0" w:type="auto"/>
        <w:tblBorders>
          <w:top w:val="none"/>
          <w:left w:val="none"/>
          <w:bottom w:val="none"/>
          <w:right w:val="none"/>
          <w:insideH w:val="none"/>
          <w:insideV w:val="none"/>
        </w:tblBorders>
        <w:tblLayout w:type="fixed"/>
      </w:tblPr>
      <w:tblGrid>
        <w:gridCol w:w="6567"/>
        <w:gridCol w:w="4953"/>
      </w:tblGrid>
      <w:tr>
        <w:trPr>
          <w:trHeight w:val="255" w:hRule="atLeast"/>
        </w:trPr>
        <w:tc>
          <w:tcPr>
            <w:tcW w:w="656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Division</w:t>
            </w:r>
          </w:p>
        </w:tc>
        <w:tc>
          <w:tcPr>
            <w:tcW w:w="495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Data Measure</w:t>
            </w:r>
          </w:p>
        </w:tc>
      </w:tr>
      <w:tr>
        <w:trPr>
          <w:trHeight w:val="480" w:hRule="atLeast"/>
        </w:trPr>
        <w:tc>
          <w:tcPr>
            <w:tcW w:w="656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Agriculture, forestry and fishing</w:t>
            </w:r>
          </w:p>
          <w:p>
            <w:pPr>
              <w:spacing w:before="0" w:after="0"/>
              <w:ind w:left="160"/>
              <w:jc w:val="left"/>
            </w:pPr>
            <w:r>
              <w:rPr>
                <w:rFonts w:ascii="Times New Roman" w:hAnsi="Times New Roman"/>
                <w:b w:val="false"/>
                <w:i w:val="false"/>
                <w:color w:val="000000"/>
                <w:sz w:val="20"/>
              </w:rPr>
              <w:t>(except agricultural services)</w:t>
            </w:r>
          </w:p>
        </w:tc>
        <w:tc>
          <w:tcPr>
            <w:tcW w:w="49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Value of production</w:t>
            </w:r>
          </w:p>
        </w:tc>
      </w:tr>
      <w:tr>
        <w:trPr>
          <w:trHeight w:val="255" w:hRule="atLeast"/>
        </w:trPr>
        <w:tc>
          <w:tcPr>
            <w:tcW w:w="65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Mining</w:t>
            </w:r>
          </w:p>
        </w:tc>
        <w:tc>
          <w:tcPr>
            <w:tcW w:w="49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Value of production</w:t>
            </w:r>
          </w:p>
        </w:tc>
      </w:tr>
      <w:tr>
        <w:trPr>
          <w:trHeight w:val="255" w:hRule="atLeast"/>
        </w:trPr>
        <w:tc>
          <w:tcPr>
            <w:tcW w:w="65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Construction</w:t>
            </w:r>
          </w:p>
        </w:tc>
        <w:tc>
          <w:tcPr>
            <w:tcW w:w="49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Value of production</w:t>
            </w:r>
          </w:p>
        </w:tc>
      </w:tr>
      <w:tr>
        <w:trPr>
          <w:trHeight w:val="255" w:hRule="atLeast"/>
        </w:trPr>
        <w:tc>
          <w:tcPr>
            <w:tcW w:w="65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Manufacturing</w:t>
            </w:r>
          </w:p>
        </w:tc>
        <w:tc>
          <w:tcPr>
            <w:tcW w:w="49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Value of production</w:t>
            </w:r>
          </w:p>
        </w:tc>
      </w:tr>
      <w:tr>
        <w:trPr>
          <w:trHeight w:val="480" w:hRule="atLeast"/>
        </w:trPr>
        <w:tc>
          <w:tcPr>
            <w:tcW w:w="656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Transportation, communication,</w:t>
            </w:r>
          </w:p>
          <w:p>
            <w:pPr>
              <w:spacing w:before="0" w:after="0"/>
              <w:ind w:left="160"/>
              <w:jc w:val="left"/>
            </w:pPr>
            <w:r>
              <w:rPr>
                <w:rFonts w:ascii="Times New Roman" w:hAnsi="Times New Roman"/>
                <w:b w:val="false"/>
                <w:i w:val="false"/>
                <w:color w:val="000000"/>
                <w:sz w:val="20"/>
              </w:rPr>
              <w:t>electric, gas and sanitary services</w:t>
            </w:r>
          </w:p>
        </w:tc>
        <w:tc>
          <w:tcPr>
            <w:tcW w:w="49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Value of receipts or revenues</w:t>
            </w:r>
          </w:p>
        </w:tc>
      </w:tr>
      <w:tr>
        <w:trPr>
          <w:trHeight w:val="255" w:hRule="atLeast"/>
        </w:trPr>
        <w:tc>
          <w:tcPr>
            <w:tcW w:w="65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Wholesale trade</w:t>
            </w:r>
          </w:p>
        </w:tc>
        <w:tc>
          <w:tcPr>
            <w:tcW w:w="49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Value of sales</w:t>
            </w:r>
          </w:p>
        </w:tc>
      </w:tr>
      <w:tr>
        <w:trPr>
          <w:trHeight w:val="255" w:hRule="atLeast"/>
        </w:trPr>
        <w:tc>
          <w:tcPr>
            <w:tcW w:w="65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Retail trade</w:t>
            </w:r>
          </w:p>
        </w:tc>
        <w:tc>
          <w:tcPr>
            <w:tcW w:w="49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Value of sales</w:t>
            </w:r>
          </w:p>
        </w:tc>
      </w:tr>
      <w:tr>
        <w:trPr>
          <w:trHeight w:val="255" w:hRule="atLeast"/>
        </w:trPr>
        <w:tc>
          <w:tcPr>
            <w:tcW w:w="65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Finance, insurance, and real estate</w:t>
            </w:r>
          </w:p>
        </w:tc>
        <w:tc>
          <w:tcPr>
            <w:tcW w:w="49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Value of receipts</w:t>
            </w:r>
          </w:p>
        </w:tc>
      </w:tr>
      <w:tr>
        <w:trPr>
          <w:trHeight w:val="255" w:hRule="atLeast"/>
        </w:trPr>
        <w:tc>
          <w:tcPr>
            <w:tcW w:w="65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Service (including agricultural services)</w:t>
            </w:r>
          </w:p>
        </w:tc>
        <w:tc>
          <w:tcPr>
            <w:tcW w:w="49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Value of receipts or revenues</w:t>
            </w:r>
          </w:p>
        </w:tc>
      </w:tr>
      <w:tr>
        <w:trPr>
          <w:trHeight w:val="255" w:hRule="atLeast"/>
        </w:trPr>
        <w:tc>
          <w:tcPr>
            <w:tcW w:w="65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Public administration</w:t>
            </w:r>
          </w:p>
        </w:tc>
        <w:tc>
          <w:tcPr>
            <w:tcW w:w="49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Employment or payroll</w:t>
            </w:r>
          </w:p>
        </w:tc>
      </w:tr>
    </w:tbl>
    <w:p>
      <w:pPr>
        <w:spacing w:before="0" w:after="0"/>
        <w:ind w:left="120"/>
        <w:jc w:val="both"/>
      </w:pPr>
      <w:r>
        <w:rPr>
          <w:rFonts w:ascii="Times New Roman" w:hAnsi="Times New Roman"/>
          <w:b w:val="false"/>
          <w:i w:val="false"/>
          <w:color w:val="000000"/>
          <w:sz w:val="22"/>
        </w:rPr>
        <w:t>In some cases it will not be possible to determine even on an estimated basis the value of production or similar appropriate measure for each product or service. In other cases an industrial classification based on measures of output will not accurately reflect the importance of the diversified activities. In these cases, employment or payroll should be used in lieu of the normal basis for determining the primary activity and subsequent code assignment of the establishment.</w:t>
      </w:r>
    </w:p>
    <w:p>
      <w:pPr>
        <w:spacing w:before="0" w:after="0"/>
        <w:ind w:left="120"/>
        <w:jc w:val="both"/>
      </w:pPr>
      <w:r>
        <w:rPr>
          <w:rFonts w:ascii="Times New Roman" w:hAnsi="Times New Roman"/>
          <w:b w:val="false"/>
          <w:i w:val="false"/>
          <w:color w:val="000000"/>
          <w:sz w:val="22"/>
        </w:rPr>
        <w:t xml:space="preserve">This rule is intended to conform to federal changes in the North American Industry Classification System and implements Iowa Code sections </w:t>
      </w:r>
      <w:hyperlink r:id="rId158">
        <w:r>
          <w:rPr>
            <w:rStyle w:val="Hyperlink"/>
            <w:rFonts w:ascii="Times New Roman" w:hAnsi="Times New Roman"/>
            <w:b w:val="false"/>
            <w:i w:val="false"/>
            <w:color w:val="000000"/>
            <w:sz w:val="22"/>
          </w:rPr>
          <w:t>96.7(2)</w:t>
        </w:r>
      </w:hyperlink>
      <w:r>
        <w:rPr>
          <w:rFonts w:ascii="Times New Roman" w:hAnsi="Times New Roman"/>
          <w:b w:val="false"/>
          <w:i w:val="false"/>
          <w:color w:val="000000"/>
          <w:sz w:val="22"/>
        </w:rPr>
        <w:t xml:space="preserve">, </w:t>
      </w:r>
      <w:hyperlink r:id="rId159">
        <w:r>
          <w:rPr>
            <w:rStyle w:val="Hyperlink"/>
            <w:rFonts w:ascii="Times New Roman" w:hAnsi="Times New Roman"/>
            <w:b w:val="false"/>
            <w:i w:val="false"/>
            <w:color w:val="000000"/>
            <w:sz w:val="22"/>
          </w:rPr>
          <w:t>96.7(3)</w:t>
        </w:r>
      </w:hyperlink>
      <w:r>
        <w:rPr>
          <w:rFonts w:ascii="Times New Roman" w:hAnsi="Times New Roman"/>
          <w:b w:val="false"/>
          <w:i w:val="false"/>
          <w:color w:val="000000"/>
          <w:sz w:val="22"/>
        </w:rPr>
        <w:t xml:space="preserve">, </w:t>
      </w:r>
      <w:hyperlink r:id="rId160">
        <w:r>
          <w:rPr>
            <w:rStyle w:val="Hyperlink"/>
            <w:rFonts w:ascii="Times New Roman" w:hAnsi="Times New Roman"/>
            <w:b w:val="false"/>
            <w:i w:val="false"/>
            <w:color w:val="000000"/>
            <w:sz w:val="22"/>
          </w:rPr>
          <w:t>96.7(4)</w:t>
        </w:r>
      </w:hyperlink>
      <w:r>
        <w:rPr>
          <w:rFonts w:ascii="Times New Roman" w:hAnsi="Times New Roman"/>
          <w:b w:val="false"/>
          <w:i w:val="false"/>
          <w:color w:val="000000"/>
          <w:sz w:val="22"/>
        </w:rPr>
        <w:t xml:space="preserve"> and </w:t>
      </w:r>
      <w:hyperlink r:id="rId161">
        <w:r>
          <w:rPr>
            <w:rStyle w:val="Hyperlink"/>
            <w:rFonts w:ascii="Times New Roman" w:hAnsi="Times New Roman"/>
            <w:b w:val="false"/>
            <w:i w:val="false"/>
            <w:color w:val="000000"/>
            <w:sz w:val="22"/>
          </w:rPr>
          <w:t>96.11(1)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871—23.83</w:t>
      </w:r>
      <w:r>
        <w:rPr>
          <w:rFonts w:ascii="Times New Roman" w:hAnsi="Times New Roman"/>
          <w:b/>
          <w:i w:val="false"/>
          <w:color w:val="000000"/>
          <w:sz w:val="22"/>
        </w:rPr>
        <w:t xml:space="preserve">(96) </w:t>
      </w:r>
      <w:r>
        <w:rPr>
          <w:rFonts w:ascii="Times New Roman" w:hAnsi="Times New Roman"/>
          <w:b/>
          <w:i w:val="false"/>
          <w:color w:val="000000"/>
          <w:sz w:val="22"/>
        </w:rPr>
        <w:t xml:space="preserve">References.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23.83(1)</w:t>
      </w:r>
      <w:r>
        <w:rPr>
          <w:rFonts w:ascii="Times New Roman" w:hAnsi="Times New Roman"/>
          <w:b w:val="false"/>
          <w:i w:val="false"/>
          <w:color w:val="000000"/>
          <w:sz w:val="22"/>
        </w:rPr>
        <w:t> </w:t>
      </w:r>
      <w:r>
        <w:rPr>
          <w:rFonts w:ascii="Times New Roman" w:hAnsi="Times New Roman"/>
          <w:b w:val="false"/>
          <w:i w:val="false"/>
          <w:color w:val="000000"/>
          <w:sz w:val="22"/>
        </w:rPr>
        <w:t>All references to the Code of Federal Regulations (CFR) and United States Code (U.S.C.) in this chapter are to the laws as amended as of November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23.83(2)</w:t>
      </w:r>
      <w:r>
        <w:rPr>
          <w:rFonts w:ascii="Times New Roman" w:hAnsi="Times New Roman"/>
          <w:b w:val="false"/>
          <w:i w:val="false"/>
          <w:color w:val="000000"/>
          <w:sz w:val="22"/>
        </w:rPr>
        <w:t> </w:t>
      </w:r>
      <w:r>
        <w:rPr>
          <w:rFonts w:ascii="Times New Roman" w:hAnsi="Times New Roman"/>
          <w:b w:val="false"/>
          <w:i w:val="false"/>
          <w:color w:val="000000"/>
          <w:sz w:val="22"/>
        </w:rPr>
        <w:t>All references to the Federal Unemployment Tax Act refer to 23 U.S.C. Sections 3301 through 3311 as amended as of November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23.83(3)</w:t>
      </w:r>
      <w:r>
        <w:rPr>
          <w:rFonts w:ascii="Times New Roman" w:hAnsi="Times New Roman"/>
          <w:b w:val="false"/>
          <w:i w:val="false"/>
          <w:color w:val="000000"/>
          <w:sz w:val="22"/>
        </w:rPr>
        <w:t> </w:t>
      </w:r>
      <w:r>
        <w:rPr>
          <w:rFonts w:ascii="Times New Roman" w:hAnsi="Times New Roman"/>
          <w:b w:val="false"/>
          <w:i w:val="false"/>
          <w:color w:val="000000"/>
          <w:sz w:val="22"/>
        </w:rPr>
        <w:t>All references to the United States Internal Revenue Code refer to 26 CFR Sections 1 through 9834 as amended as of November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23.83(4)</w:t>
      </w:r>
      <w:r>
        <w:rPr>
          <w:rFonts w:ascii="Times New Roman" w:hAnsi="Times New Roman"/>
          <w:b w:val="false"/>
          <w:i w:val="false"/>
          <w:color w:val="000000"/>
          <w:sz w:val="22"/>
        </w:rPr>
        <w:t> </w:t>
      </w:r>
      <w:r>
        <w:rPr>
          <w:rFonts w:ascii="Times New Roman" w:hAnsi="Times New Roman"/>
          <w:b w:val="false"/>
          <w:i w:val="false"/>
          <w:color w:val="000000"/>
          <w:sz w:val="22"/>
        </w:rPr>
        <w:t>All references to the United States Federal Insurance Contributions Act refer to 26 U.S.C. Sections 3101 through 3134 as amended as of November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23.83(5)</w:t>
      </w:r>
      <w:r>
        <w:rPr>
          <w:rFonts w:ascii="Times New Roman" w:hAnsi="Times New Roman"/>
          <w:b w:val="false"/>
          <w:i w:val="false"/>
          <w:color w:val="000000"/>
          <w:sz w:val="22"/>
        </w:rPr>
        <w:t> </w:t>
      </w:r>
      <w:r>
        <w:rPr>
          <w:rFonts w:ascii="Times New Roman" w:hAnsi="Times New Roman"/>
          <w:b w:val="false"/>
          <w:i w:val="false"/>
          <w:color w:val="000000"/>
          <w:sz w:val="22"/>
        </w:rPr>
        <w:t>All references to the United States Balanced Budget and Emergency Deficit Control Act of 1985 refer to PL 99-177 as amended as of November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23.83(6)</w:t>
      </w:r>
      <w:r>
        <w:rPr>
          <w:rFonts w:ascii="Times New Roman" w:hAnsi="Times New Roman"/>
          <w:b w:val="false"/>
          <w:i w:val="false"/>
          <w:color w:val="000000"/>
          <w:sz w:val="22"/>
        </w:rPr>
        <w:t> </w:t>
      </w:r>
      <w:r>
        <w:rPr>
          <w:rFonts w:ascii="Times New Roman" w:hAnsi="Times New Roman"/>
          <w:b w:val="false"/>
          <w:i w:val="false"/>
          <w:color w:val="000000"/>
          <w:sz w:val="22"/>
        </w:rPr>
        <w:t>All references to the United States Disaster Relief Act of 1974 refer to PL 93-288 as amended as of November 1, 2024.</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62">
        <w:r>
          <w:rPr>
            <w:rStyle w:val="Hyperlink"/>
            <w:rFonts w:ascii="Times New Roman" w:hAnsi="Times New Roman"/>
            <w:b w:val="false"/>
            <w:i w:val="false"/>
            <w:color w:val="000000"/>
            <w:sz w:val="22"/>
          </w:rPr>
          <w:t>96</w:t>
        </w:r>
      </w:hyperlink>
      <w:r>
        <w:rPr>
          <w:rFonts w:ascii="Times New Roman" w:hAnsi="Times New Roman"/>
          <w:b w:val="false"/>
          <w:i w:val="false"/>
          <w:color w:val="000000"/>
          <w:sz w:val="22"/>
        </w:rPr>
        <w:t xml:space="preserve"> and section </w:t>
      </w:r>
      <w:hyperlink r:id="rId163">
        <w:r>
          <w:rPr>
            <w:rStyle w:val="Hyperlink"/>
            <w:rFonts w:ascii="Times New Roman" w:hAnsi="Times New Roman"/>
            <w:b w:val="false"/>
            <w:i w:val="false"/>
            <w:color w:val="000000"/>
            <w:sz w:val="22"/>
          </w:rPr>
          <w:t>17A.6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8848C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10/28/75, Notice 9/22/75—published 11/17/75, effective 12/23/75]</w:t>
      </w:r>
    </w:p>
    <w:p>
      <w:pPr>
        <w:spacing w:before="0" w:after="0"/>
        <w:ind w:left="120"/>
        <w:jc w:val="center"/>
      </w:pPr>
      <w:r>
        <w:rPr>
          <w:rFonts w:ascii="Times New Roman" w:hAnsi="Times New Roman"/>
          <w:b w:val="false"/>
          <w:i w:val="false"/>
          <w:color w:val="000000"/>
          <w:sz w:val="21"/>
        </w:rPr>
        <w:t>[Filed 4/29/76, Notice 3/22/76—published 5/17/76, effective 6/21/76]</w:t>
      </w:r>
    </w:p>
    <w:p>
      <w:pPr>
        <w:spacing w:before="0" w:after="0"/>
        <w:ind w:left="120"/>
        <w:jc w:val="center"/>
      </w:pPr>
      <w:r>
        <w:rPr>
          <w:rFonts w:ascii="Times New Roman" w:hAnsi="Times New Roman"/>
          <w:b w:val="false"/>
          <w:i w:val="false"/>
          <w:color w:val="000000"/>
          <w:sz w:val="21"/>
        </w:rPr>
        <w:t>[Filed 12/9/76, Notice 11/3/76—published 12/29/76, effective 2/2/77]</w:t>
      </w:r>
    </w:p>
    <w:p>
      <w:pPr>
        <w:spacing w:before="0" w:after="0"/>
        <w:ind w:left="120"/>
        <w:jc w:val="center"/>
      </w:pPr>
      <w:r>
        <w:rPr>
          <w:rFonts w:ascii="Times New Roman" w:hAnsi="Times New Roman"/>
          <w:b w:val="false"/>
          <w:i w:val="false"/>
          <w:color w:val="000000"/>
          <w:sz w:val="21"/>
        </w:rPr>
        <w:t>[Filed emergency 12/23/76—published 1/12/77, effective 12/23/76]</w:t>
      </w:r>
    </w:p>
    <w:p>
      <w:pPr>
        <w:spacing w:before="0" w:after="0"/>
        <w:ind w:left="120"/>
        <w:jc w:val="center"/>
      </w:pPr>
      <w:r>
        <w:rPr>
          <w:rFonts w:ascii="Times New Roman" w:hAnsi="Times New Roman"/>
          <w:b w:val="false"/>
          <w:i w:val="false"/>
          <w:color w:val="000000"/>
          <w:sz w:val="21"/>
        </w:rPr>
        <w:t>[Filed 9/16/77, Notice 8/10/77—published 10/5/77, effective 11/9/77]</w:t>
      </w:r>
    </w:p>
    <w:p>
      <w:pPr>
        <w:spacing w:before="0" w:after="0"/>
        <w:ind w:left="120"/>
        <w:jc w:val="center"/>
      </w:pPr>
      <w:r>
        <w:rPr>
          <w:rFonts w:ascii="Times New Roman" w:hAnsi="Times New Roman"/>
          <w:b w:val="false"/>
          <w:i w:val="false"/>
          <w:color w:val="000000"/>
          <w:sz w:val="21"/>
        </w:rPr>
        <w:t>[Filed 9/30/77, Notice 8/24/77—published 10/19/77, effective 11/23/77]</w:t>
      </w:r>
    </w:p>
    <w:p>
      <w:pPr>
        <w:spacing w:before="0" w:after="0"/>
        <w:ind w:left="120"/>
        <w:jc w:val="center"/>
      </w:pPr>
      <w:r>
        <w:rPr>
          <w:rFonts w:ascii="Times New Roman" w:hAnsi="Times New Roman"/>
          <w:b w:val="false"/>
          <w:i w:val="false"/>
          <w:color w:val="000000"/>
          <w:sz w:val="21"/>
        </w:rPr>
        <w:t>[Filed 5/24/78, Notice 4/5/78—published 6/14/78, effective 7/19/78]</w:t>
      </w:r>
    </w:p>
    <w:p>
      <w:pPr>
        <w:spacing w:before="0" w:after="0"/>
        <w:ind w:left="120"/>
        <w:jc w:val="center"/>
      </w:pPr>
      <w:r>
        <w:rPr>
          <w:rFonts w:ascii="Times New Roman" w:hAnsi="Times New Roman"/>
          <w:b w:val="false"/>
          <w:i w:val="false"/>
          <w:color w:val="000000"/>
          <w:sz w:val="21"/>
        </w:rPr>
        <w:t>[Filed 8/17/78, Notice 6/28/78—published 9/6/78, effective 10/11/78]</w:t>
      </w:r>
    </w:p>
    <w:p>
      <w:pPr>
        <w:spacing w:before="0" w:after="0"/>
        <w:ind w:left="120"/>
        <w:jc w:val="center"/>
      </w:pPr>
      <w:r>
        <w:rPr>
          <w:rFonts w:ascii="Times New Roman" w:hAnsi="Times New Roman"/>
          <w:b w:val="false"/>
          <w:i w:val="false"/>
          <w:color w:val="000000"/>
          <w:sz w:val="21"/>
        </w:rPr>
        <w:t>[Filed 12/22/78, Notice 11/15/78—published 1/10/79, effective 2/14/79]</w:t>
      </w:r>
    </w:p>
    <w:p>
      <w:pPr>
        <w:spacing w:before="0" w:after="0"/>
        <w:ind w:left="120"/>
        <w:jc w:val="center"/>
      </w:pPr>
      <w:r>
        <w:rPr>
          <w:rFonts w:ascii="Times New Roman" w:hAnsi="Times New Roman"/>
          <w:b w:val="false"/>
          <w:i w:val="false"/>
          <w:color w:val="000000"/>
          <w:sz w:val="21"/>
        </w:rPr>
        <w:t>[Filed emergency 6/22/79—published 7/11/79, effective 7/1/79]</w:t>
      </w:r>
    </w:p>
    <w:p>
      <w:pPr>
        <w:spacing w:before="0" w:after="0"/>
        <w:ind w:left="120"/>
        <w:jc w:val="center"/>
      </w:pPr>
      <w:r>
        <w:rPr>
          <w:rFonts w:ascii="Times New Roman" w:hAnsi="Times New Roman"/>
          <w:b w:val="false"/>
          <w:i w:val="false"/>
          <w:color w:val="000000"/>
          <w:sz w:val="21"/>
        </w:rPr>
        <w:t>[Filed 10/12/79, Notice 6/27/79—published 10/31/79, effective 12/5/79]</w:t>
      </w:r>
    </w:p>
    <w:p>
      <w:pPr>
        <w:spacing w:before="0" w:after="0"/>
        <w:ind w:left="120"/>
        <w:jc w:val="center"/>
      </w:pPr>
      <w:r>
        <w:rPr>
          <w:rFonts w:ascii="Times New Roman" w:hAnsi="Times New Roman"/>
          <w:b w:val="false"/>
          <w:i w:val="false"/>
          <w:color w:val="000000"/>
          <w:sz w:val="21"/>
        </w:rPr>
        <w:t>[Filed 2/12/80, Notice 10/31/79—published 3/5/80, effective 4/9/80]</w:t>
      </w:r>
    </w:p>
    <w:p>
      <w:pPr>
        <w:spacing w:before="0" w:after="0"/>
        <w:ind w:left="120"/>
        <w:jc w:val="center"/>
      </w:pPr>
      <w:r>
        <w:rPr>
          <w:rFonts w:ascii="Times New Roman" w:hAnsi="Times New Roman"/>
          <w:b w:val="false"/>
          <w:i w:val="false"/>
          <w:color w:val="000000"/>
          <w:sz w:val="21"/>
        </w:rPr>
        <w:t>[Filed 7/31/80, Notice 4/30/80—published 8/20/80, effective 9/24/80]</w:t>
      </w:r>
    </w:p>
    <w:p>
      <w:pPr>
        <w:spacing w:before="0" w:after="0"/>
        <w:ind w:left="120"/>
        <w:jc w:val="center"/>
      </w:pPr>
      <w:r>
        <w:rPr>
          <w:rFonts w:ascii="Times New Roman" w:hAnsi="Times New Roman"/>
          <w:b w:val="false"/>
          <w:i w:val="false"/>
          <w:color w:val="000000"/>
          <w:sz w:val="21"/>
        </w:rPr>
        <w:t>[Filed 12/5/80, Notice 10/1/80—published 12/24/80, effective 1/28/81]</w:t>
      </w:r>
    </w:p>
    <w:p>
      <w:pPr>
        <w:spacing w:before="0" w:after="0"/>
        <w:ind w:left="120"/>
        <w:jc w:val="center"/>
      </w:pPr>
      <w:r>
        <w:rPr>
          <w:rFonts w:ascii="Times New Roman" w:hAnsi="Times New Roman"/>
          <w:b w:val="false"/>
          <w:i w:val="false"/>
          <w:color w:val="000000"/>
          <w:sz w:val="21"/>
        </w:rPr>
        <w:t>[Filed 4/10/81, Notices 1/21/81, 2/18/81—published 4/29/81, effective 6/4/81</w:t>
      </w:r>
    </w:p>
    <w:p>
      <w:pPr>
        <w:spacing w:before="0" w:after="0"/>
        <w:ind w:left="120"/>
        <w:jc w:val="center"/>
      </w:pPr>
      <w:r>
        <w:rPr>
          <w:rFonts w:ascii="Times New Roman" w:hAnsi="Times New Roman"/>
          <w:b w:val="false"/>
          <w:i w:val="false"/>
          <w:color w:val="000000"/>
          <w:sz w:val="21"/>
        </w:rPr>
        <w:t>[Filed 4/23/81, Notice 3/18/81—published 5/13/81, effective 6/18/81]</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5/11/81—published 5/27/81, effective 5/11/81]</w:t>
      </w:r>
    </w:p>
    <w:p>
      <w:pPr>
        <w:spacing w:before="0" w:after="0"/>
        <w:ind w:left="120"/>
        <w:jc w:val="center"/>
      </w:pPr>
      <w:r>
        <w:rPr>
          <w:rFonts w:ascii="Times New Roman" w:hAnsi="Times New Roman"/>
          <w:b w:val="false"/>
          <w:i w:val="false"/>
          <w:color w:val="000000"/>
          <w:sz w:val="21"/>
        </w:rPr>
        <w:t>[Filed emergency 6/15/81—published 7/8/81, effective 7/1/81]</w:t>
      </w:r>
    </w:p>
    <w:p>
      <w:pPr>
        <w:spacing w:before="0" w:after="0"/>
        <w:ind w:left="120"/>
        <w:jc w:val="center"/>
      </w:pPr>
      <w:r>
        <w:rPr>
          <w:rFonts w:ascii="Times New Roman" w:hAnsi="Times New Roman"/>
          <w:b w:val="false"/>
          <w:i w:val="false"/>
          <w:color w:val="000000"/>
          <w:sz w:val="21"/>
        </w:rPr>
        <w:t>[Filed emergency 10/23/81—published 11/11/81, effective 10/23/81]</w:t>
      </w:r>
    </w:p>
    <w:p>
      <w:pPr>
        <w:spacing w:before="0" w:after="0"/>
        <w:ind w:left="120"/>
        <w:jc w:val="center"/>
      </w:pPr>
      <w:r>
        <w:rPr>
          <w:rFonts w:ascii="Times New Roman" w:hAnsi="Times New Roman"/>
          <w:b w:val="false"/>
          <w:i w:val="false"/>
          <w:color w:val="000000"/>
          <w:sz w:val="21"/>
        </w:rPr>
        <w:t>[Filed 11/6/81, Notice 7/8/81—published 11 /25/81, effective 12/30/81]</w:t>
      </w:r>
    </w:p>
    <w:p>
      <w:pPr>
        <w:spacing w:before="0" w:after="0"/>
        <w:ind w:left="120"/>
        <w:jc w:val="center"/>
      </w:pPr>
      <w:r>
        <w:rPr>
          <w:rFonts w:ascii="Times New Roman" w:hAnsi="Times New Roman"/>
          <w:b w:val="false"/>
          <w:i w:val="false"/>
          <w:color w:val="000000"/>
          <w:sz w:val="21"/>
        </w:rPr>
        <w:t>[Filed emergency 12/2/81—published 12/23/81, effective 12/2/81]</w:t>
      </w:r>
    </w:p>
    <w:p>
      <w:pPr>
        <w:spacing w:before="0" w:after="0"/>
        <w:ind w:left="120"/>
        <w:jc w:val="center"/>
      </w:pPr>
      <w:r>
        <w:rPr>
          <w:rFonts w:ascii="Times New Roman" w:hAnsi="Times New Roman"/>
          <w:b w:val="false"/>
          <w:i w:val="false"/>
          <w:color w:val="000000"/>
          <w:sz w:val="21"/>
        </w:rPr>
        <w:t>[Filed emergency 12/8/81—published 1/6/82, effective 12/8/81]</w:t>
      </w:r>
    </w:p>
    <w:p>
      <w:pPr>
        <w:spacing w:before="0" w:after="0"/>
        <w:ind w:left="120"/>
        <w:jc w:val="center"/>
      </w:pPr>
      <w:r>
        <w:rPr>
          <w:rFonts w:ascii="Times New Roman" w:hAnsi="Times New Roman"/>
          <w:b w:val="false"/>
          <w:i w:val="false"/>
          <w:color w:val="000000"/>
          <w:sz w:val="21"/>
        </w:rPr>
        <w:t>[Filed 4/23/82, Notice 11/25/81—published 5/12/82, effective 6/17/82]</w:t>
      </w:r>
    </w:p>
    <w:p>
      <w:pPr>
        <w:spacing w:before="0" w:after="0"/>
        <w:ind w:left="120"/>
        <w:jc w:val="center"/>
      </w:pPr>
      <w:r>
        <w:rPr>
          <w:rFonts w:ascii="Times New Roman" w:hAnsi="Times New Roman"/>
          <w:b w:val="false"/>
          <w:i w:val="false"/>
          <w:color w:val="000000"/>
          <w:sz w:val="21"/>
        </w:rPr>
        <w:t>[Filed 7/30/82, Notice 6/9/82—published 8/18/82, effective 9/22/82]</w:t>
      </w:r>
    </w:p>
    <w:p>
      <w:pPr>
        <w:spacing w:before="0" w:after="0"/>
        <w:ind w:left="120"/>
        <w:jc w:val="center"/>
      </w:pPr>
      <w:r>
        <w:rPr>
          <w:rFonts w:ascii="Times New Roman" w:hAnsi="Times New Roman"/>
          <w:b w:val="false"/>
          <w:i w:val="false"/>
          <w:color w:val="000000"/>
          <w:sz w:val="21"/>
        </w:rPr>
        <w:t>[Filed 8/26/82, Notice 7/21/82—published 9/15/82, effective 10/20/82]</w:t>
      </w:r>
    </w:p>
    <w:p>
      <w:pPr>
        <w:spacing w:before="0" w:after="0"/>
        <w:ind w:left="120"/>
        <w:jc w:val="center"/>
      </w:pPr>
      <w:r>
        <w:rPr>
          <w:rFonts w:ascii="Times New Roman" w:hAnsi="Times New Roman"/>
          <w:b w:val="false"/>
          <w:i w:val="false"/>
          <w:color w:val="000000"/>
          <w:sz w:val="21"/>
        </w:rPr>
        <w:t>[Filed emergency 6/27/83—published 7/20/83, effective 7/1/83]</w:t>
      </w:r>
    </w:p>
    <w:p>
      <w:pPr>
        <w:spacing w:before="0" w:after="0"/>
        <w:ind w:left="120"/>
        <w:jc w:val="center"/>
      </w:pPr>
      <w:r>
        <w:rPr>
          <w:rFonts w:ascii="Times New Roman" w:hAnsi="Times New Roman"/>
          <w:b w:val="false"/>
          <w:i w:val="false"/>
          <w:color w:val="000000"/>
          <w:sz w:val="21"/>
        </w:rPr>
        <w:t>[Filed emergency 9/23/83—published 10/12/83, effective 10/1/83]</w:t>
      </w:r>
    </w:p>
    <w:p>
      <w:pPr>
        <w:spacing w:before="0" w:after="0"/>
        <w:ind w:left="120"/>
        <w:jc w:val="center"/>
      </w:pPr>
      <w:r>
        <w:rPr>
          <w:rFonts w:ascii="Times New Roman" w:hAnsi="Times New Roman"/>
          <w:b w:val="false"/>
          <w:i w:val="false"/>
          <w:color w:val="000000"/>
          <w:sz w:val="21"/>
        </w:rPr>
        <w:t>[Filed 2/10/84, Notices 8/31/83, 10/12/83—published 2/29/84, effective 4/5/84]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5/2/84, Notice 2/29/84—published 5/23/84, effective 6/27/84]</w:t>
      </w:r>
    </w:p>
    <w:p>
      <w:pPr>
        <w:spacing w:before="0" w:after="0"/>
        <w:ind w:left="120"/>
        <w:jc w:val="center"/>
      </w:pPr>
      <w:r>
        <w:rPr>
          <w:rFonts w:ascii="Times New Roman" w:hAnsi="Times New Roman"/>
          <w:b w:val="false"/>
          <w:i w:val="false"/>
          <w:color w:val="000000"/>
          <w:sz w:val="21"/>
        </w:rPr>
        <w:t>[Filed emergency 6/1/84—published 6/20/84, effective 6/21/84]</w:t>
      </w:r>
    </w:p>
    <w:p>
      <w:pPr>
        <w:spacing w:before="0" w:after="0"/>
        <w:ind w:left="120"/>
        <w:jc w:val="center"/>
      </w:pPr>
      <w:r>
        <w:rPr>
          <w:rFonts w:ascii="Times New Roman" w:hAnsi="Times New Roman"/>
          <w:b w:val="false"/>
          <w:i w:val="false"/>
          <w:color w:val="000000"/>
          <w:sz w:val="21"/>
        </w:rPr>
        <w:t>[Filed 8/24/84, Notice 6/20/84—published 9/12/84, effective 10/17/84]</w:t>
      </w:r>
    </w:p>
    <w:p>
      <w:pPr>
        <w:spacing w:before="0" w:after="0"/>
        <w:ind w:left="120"/>
        <w:jc w:val="center"/>
      </w:pPr>
      <w:r>
        <w:rPr>
          <w:rFonts w:ascii="Times New Roman" w:hAnsi="Times New Roman"/>
          <w:b w:val="false"/>
          <w:i w:val="false"/>
          <w:color w:val="000000"/>
          <w:sz w:val="21"/>
        </w:rPr>
        <w:t>[Filed 1/11/85, Notice 8/29/84—published 1/30/85, effective 3/6/85]</w:t>
      </w:r>
    </w:p>
    <w:p>
      <w:pPr>
        <w:spacing w:before="0" w:after="0"/>
        <w:ind w:left="120"/>
        <w:jc w:val="center"/>
      </w:pPr>
      <w:r>
        <w:rPr>
          <w:rFonts w:ascii="Times New Roman" w:hAnsi="Times New Roman"/>
          <w:b w:val="false"/>
          <w:i w:val="false"/>
          <w:color w:val="000000"/>
          <w:sz w:val="21"/>
        </w:rPr>
        <w:t>[Filed 1/14/85, Notice 10/24/84—published 1/30/85, effective 3/6/85]</w:t>
      </w:r>
    </w:p>
    <w:p>
      <w:pPr>
        <w:spacing w:before="0" w:after="0"/>
        <w:ind w:left="120"/>
        <w:jc w:val="center"/>
      </w:pPr>
      <w:r>
        <w:rPr>
          <w:rFonts w:ascii="Times New Roman" w:hAnsi="Times New Roman"/>
          <w:b w:val="false"/>
          <w:i w:val="false"/>
          <w:color w:val="000000"/>
          <w:sz w:val="21"/>
        </w:rPr>
        <w:t>[Filed 1/14/85, Notice 12/5/84—published 1/30/85, effective 3/6/85]</w:t>
      </w:r>
    </w:p>
    <w:p>
      <w:pPr>
        <w:spacing w:before="0" w:after="0"/>
        <w:ind w:left="120"/>
        <w:jc w:val="center"/>
      </w:pPr>
      <w:r>
        <w:rPr>
          <w:rFonts w:ascii="Times New Roman" w:hAnsi="Times New Roman"/>
          <w:b w:val="false"/>
          <w:i w:val="false"/>
          <w:color w:val="000000"/>
          <w:sz w:val="21"/>
        </w:rPr>
        <w:t>[Filed 8/30/85, Notice 7/3/85—published 9/25/85, effective 10/30/85]</w:t>
      </w:r>
    </w:p>
    <w:p>
      <w:pPr>
        <w:spacing w:before="0" w:after="0"/>
        <w:ind w:left="120"/>
        <w:jc w:val="center"/>
      </w:pPr>
      <w:r>
        <w:rPr>
          <w:rFonts w:ascii="Times New Roman" w:hAnsi="Times New Roman"/>
          <w:b w:val="false"/>
          <w:i w:val="false"/>
          <w:color w:val="000000"/>
          <w:sz w:val="21"/>
        </w:rPr>
        <w:t>[Filed emergency 6/13/86—published 7/2/86, effective 7/1/86]</w:t>
      </w:r>
    </w:p>
    <w:p>
      <w:pPr>
        <w:spacing w:before="0" w:after="0"/>
        <w:ind w:left="120"/>
        <w:jc w:val="center"/>
      </w:pPr>
      <w:r>
        <w:rPr>
          <w:rFonts w:ascii="Times New Roman" w:hAnsi="Times New Roman"/>
          <w:b w:val="false"/>
          <w:i w:val="false"/>
          <w:color w:val="000000"/>
          <w:sz w:val="21"/>
        </w:rPr>
        <w:t>[Filed 7/11/86, Notice 5/7/86—published 7/30/86, effective 9/3/86]</w:t>
      </w:r>
    </w:p>
    <w:p>
      <w:pPr>
        <w:spacing w:before="0" w:after="0"/>
        <w:ind w:left="120"/>
        <w:jc w:val="center"/>
      </w:pPr>
      <w:r>
        <w:rPr>
          <w:rFonts w:ascii="Times New Roman" w:hAnsi="Times New Roman"/>
          <w:b w:val="false"/>
          <w:i w:val="false"/>
          <w:color w:val="000000"/>
          <w:sz w:val="21"/>
        </w:rPr>
        <w:t>[Filed emergency 9/5/86—published 9/24/86, effective 9/5/86]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11/7/86, Notice 8/13/86—published 12/3/86, effective 1/7/87]</w:t>
      </w:r>
    </w:p>
    <w:p>
      <w:pPr>
        <w:spacing w:before="0" w:after="0"/>
        <w:ind w:left="120"/>
        <w:jc w:val="center"/>
      </w:pPr>
      <w:r>
        <w:rPr>
          <w:rFonts w:ascii="Times New Roman" w:hAnsi="Times New Roman"/>
          <w:b w:val="false"/>
          <w:i w:val="false"/>
          <w:color w:val="000000"/>
          <w:sz w:val="21"/>
        </w:rPr>
        <w:t>[Filed emergency 6/12/87—published 7/1/87, effective 7/1/87]</w:t>
      </w:r>
    </w:p>
    <w:p>
      <w:pPr>
        <w:spacing w:before="0" w:after="0"/>
        <w:ind w:left="120"/>
        <w:jc w:val="center"/>
      </w:pPr>
      <w:r>
        <w:rPr>
          <w:rFonts w:ascii="Times New Roman" w:hAnsi="Times New Roman"/>
          <w:b w:val="false"/>
          <w:i w:val="false"/>
          <w:color w:val="000000"/>
          <w:sz w:val="21"/>
        </w:rPr>
        <w:t>[Filed 6/12/87, Notice 4/8/87—published 7/1/87, effective 8/5/87]</w:t>
      </w:r>
    </w:p>
    <w:p>
      <w:pPr>
        <w:spacing w:before="0" w:after="0"/>
        <w:ind w:left="120"/>
        <w:jc w:val="center"/>
      </w:pPr>
      <w:r>
        <w:rPr>
          <w:rFonts w:ascii="Times New Roman" w:hAnsi="Times New Roman"/>
          <w:b w:val="false"/>
          <w:i w:val="false"/>
          <w:color w:val="000000"/>
          <w:sz w:val="21"/>
        </w:rPr>
        <w:t>[Filed 6/12/87, Notice 5/6/87—published 7/1/87, effective 8/5/87]</w:t>
      </w:r>
    </w:p>
    <w:p>
      <w:pPr>
        <w:spacing w:before="0" w:after="0"/>
        <w:ind w:left="120"/>
        <w:jc w:val="center"/>
      </w:pPr>
      <w:r>
        <w:rPr>
          <w:rFonts w:ascii="Times New Roman" w:hAnsi="Times New Roman"/>
          <w:b w:val="false"/>
          <w:i w:val="false"/>
          <w:color w:val="000000"/>
          <w:sz w:val="21"/>
        </w:rPr>
        <w:t>[Filed 7/24/87, Notice 6/3/87—published 8/12/87, effective 9/16/87]</w:t>
      </w:r>
    </w:p>
    <w:p>
      <w:pPr>
        <w:spacing w:before="0" w:after="0"/>
        <w:ind w:left="120"/>
        <w:jc w:val="center"/>
      </w:pPr>
      <w:r>
        <w:rPr>
          <w:rFonts w:ascii="Times New Roman" w:hAnsi="Times New Roman"/>
          <w:b w:val="false"/>
          <w:i w:val="false"/>
          <w:color w:val="000000"/>
          <w:sz w:val="21"/>
        </w:rPr>
        <w:t>[Filed 9/4/87, Notice 7/1/87—published 9/23/87, effective 10/28/87]</w:t>
      </w:r>
    </w:p>
    <w:p>
      <w:pPr>
        <w:spacing w:before="0" w:after="0"/>
        <w:ind w:left="120"/>
        <w:jc w:val="center"/>
      </w:pPr>
      <w:r>
        <w:rPr>
          <w:rFonts w:ascii="Times New Roman" w:hAnsi="Times New Roman"/>
          <w:b w:val="false"/>
          <w:i w:val="false"/>
          <w:color w:val="000000"/>
          <w:sz w:val="21"/>
        </w:rPr>
        <w:t>[Filed 2/19/88, Notice 12/30/87—published 3/9/88, effective 4/13/88]</w:t>
      </w:r>
    </w:p>
    <w:p>
      <w:pPr>
        <w:spacing w:before="0" w:after="0"/>
        <w:ind w:left="120"/>
        <w:jc w:val="center"/>
      </w:pPr>
      <w:r>
        <w:rPr>
          <w:rFonts w:ascii="Times New Roman" w:hAnsi="Times New Roman"/>
          <w:b w:val="false"/>
          <w:i w:val="false"/>
          <w:color w:val="000000"/>
          <w:sz w:val="21"/>
        </w:rPr>
        <w:t>[Filed 4/1/88, Notice 2/10/88—published 4/20/88, effective 5/25/88]</w:t>
      </w:r>
    </w:p>
    <w:p>
      <w:pPr>
        <w:spacing w:before="0" w:after="0"/>
        <w:ind w:left="120"/>
        <w:jc w:val="center"/>
      </w:pPr>
      <w:r>
        <w:rPr>
          <w:rFonts w:ascii="Times New Roman" w:hAnsi="Times New Roman"/>
          <w:b w:val="false"/>
          <w:i w:val="false"/>
          <w:color w:val="000000"/>
          <w:sz w:val="21"/>
        </w:rPr>
        <w:t>[Filed 6/24/88, Notice 4/20/88—published 7/13/88, effective 8/17/88]</w:t>
      </w:r>
    </w:p>
    <w:p>
      <w:pPr>
        <w:spacing w:before="0" w:after="0"/>
        <w:ind w:left="120"/>
        <w:jc w:val="center"/>
      </w:pPr>
      <w:r>
        <w:rPr>
          <w:rFonts w:ascii="Times New Roman" w:hAnsi="Times New Roman"/>
          <w:b w:val="false"/>
          <w:i w:val="false"/>
          <w:color w:val="000000"/>
          <w:sz w:val="21"/>
        </w:rPr>
        <w:t>[Filed 8/5/88, Notice 6/29/88—published 8/24/88, effective 9/28/88]</w:t>
      </w:r>
    </w:p>
    <w:p>
      <w:pPr>
        <w:spacing w:before="0" w:after="0"/>
        <w:ind w:left="120"/>
        <w:jc w:val="center"/>
      </w:pPr>
      <w:r>
        <w:rPr>
          <w:rFonts w:ascii="Times New Roman" w:hAnsi="Times New Roman"/>
          <w:b w:val="false"/>
          <w:i w:val="false"/>
          <w:color w:val="000000"/>
          <w:sz w:val="21"/>
        </w:rPr>
        <w:t>[Filed 11/14/88, Notices 8/24/88, 10/19/88—published 11/30/88, effective 1/4/89]</w:t>
      </w:r>
    </w:p>
    <w:p>
      <w:pPr>
        <w:spacing w:before="0" w:after="0"/>
        <w:ind w:left="120"/>
        <w:jc w:val="center"/>
      </w:pPr>
      <w:r>
        <w:rPr>
          <w:rFonts w:ascii="Times New Roman" w:hAnsi="Times New Roman"/>
          <w:b w:val="false"/>
          <w:i w:val="false"/>
          <w:color w:val="000000"/>
          <w:sz w:val="21"/>
        </w:rPr>
        <w:t>[Filed 11/23/88, Notice 10/19/88—published 12/14/88, effective 1/18/89]</w:t>
      </w:r>
    </w:p>
    <w:p>
      <w:pPr>
        <w:spacing w:before="0" w:after="0"/>
        <w:ind w:left="120"/>
        <w:jc w:val="center"/>
      </w:pPr>
      <w:r>
        <w:rPr>
          <w:rFonts w:ascii="Times New Roman" w:hAnsi="Times New Roman"/>
          <w:b w:val="false"/>
          <w:i w:val="false"/>
          <w:color w:val="000000"/>
          <w:sz w:val="21"/>
        </w:rPr>
        <w:t>[Filed 2/3/89, Notice 12/28/88—published 2/22/89, effective 3/29/89]</w:t>
      </w:r>
    </w:p>
    <w:p>
      <w:pPr>
        <w:spacing w:before="0" w:after="0"/>
        <w:ind w:left="120"/>
        <w:jc w:val="center"/>
      </w:pPr>
      <w:r>
        <w:rPr>
          <w:rFonts w:ascii="Times New Roman" w:hAnsi="Times New Roman"/>
          <w:b w:val="false"/>
          <w:i w:val="false"/>
          <w:color w:val="000000"/>
          <w:sz w:val="21"/>
        </w:rPr>
        <w:t>[Filed 3/31/89, Notice 2/22/89—published 4/19/89, effective 5/24/89]</w:t>
      </w:r>
    </w:p>
    <w:p>
      <w:pPr>
        <w:spacing w:before="0" w:after="0"/>
        <w:ind w:left="120"/>
        <w:jc w:val="center"/>
      </w:pPr>
      <w:r>
        <w:rPr>
          <w:rFonts w:ascii="Times New Roman" w:hAnsi="Times New Roman"/>
          <w:b w:val="false"/>
          <w:i w:val="false"/>
          <w:color w:val="000000"/>
          <w:sz w:val="21"/>
        </w:rPr>
        <w:t>[Filed 6/23/89, Notice 5/17/89—published 7/12/89, effective 8/16/89]</w:t>
      </w:r>
    </w:p>
    <w:p>
      <w:pPr>
        <w:spacing w:before="0" w:after="0"/>
        <w:ind w:left="120"/>
        <w:jc w:val="center"/>
      </w:pPr>
      <w:r>
        <w:rPr>
          <w:rFonts w:ascii="Times New Roman" w:hAnsi="Times New Roman"/>
          <w:b w:val="false"/>
          <w:i w:val="false"/>
          <w:color w:val="000000"/>
          <w:sz w:val="21"/>
        </w:rPr>
        <w:t xml:space="preserve"> [Filed 9/29/89, Notice 8/23/89—published 10/18/89,effective 11/22/89]</w:t>
      </w:r>
    </w:p>
    <w:p>
      <w:pPr>
        <w:spacing w:before="0" w:after="0"/>
        <w:ind w:left="120"/>
        <w:jc w:val="center"/>
      </w:pPr>
      <w:r>
        <w:rPr>
          <w:rFonts w:ascii="Times New Roman" w:hAnsi="Times New Roman"/>
          <w:b w:val="false"/>
          <w:i w:val="false"/>
          <w:color w:val="000000"/>
          <w:sz w:val="21"/>
        </w:rPr>
        <w:t xml:space="preserve"> [Filed 3/30/90, Notice 2/21/90—published 4/18/90, effective 5/23/90]</w:t>
      </w:r>
    </w:p>
    <w:p>
      <w:pPr>
        <w:spacing w:before="0" w:after="0"/>
        <w:ind w:left="120"/>
        <w:jc w:val="center"/>
      </w:pPr>
      <w:r>
        <w:rPr>
          <w:rFonts w:ascii="Times New Roman" w:hAnsi="Times New Roman"/>
          <w:b w:val="false"/>
          <w:i w:val="false"/>
          <w:color w:val="000000"/>
          <w:sz w:val="21"/>
        </w:rPr>
        <w:t xml:space="preserve"> [Filed 6/22/90, Notice 5/16/90—published 7/11/90, effective 8/15/90]</w:t>
      </w:r>
    </w:p>
    <w:p>
      <w:pPr>
        <w:spacing w:before="0" w:after="0"/>
        <w:ind w:left="120"/>
        <w:jc w:val="center"/>
      </w:pPr>
      <w:r>
        <w:rPr>
          <w:rFonts w:ascii="Times New Roman" w:hAnsi="Times New Roman"/>
          <w:b w:val="false"/>
          <w:i w:val="false"/>
          <w:color w:val="000000"/>
          <w:sz w:val="21"/>
        </w:rPr>
        <w:t>[Filed 9/28/90, Notice 8/22/90—published 10/17/90, effective 11/21/90]</w:t>
      </w:r>
    </w:p>
    <w:p>
      <w:pPr>
        <w:spacing w:before="0" w:after="0"/>
        <w:ind w:left="120"/>
        <w:jc w:val="center"/>
      </w:pPr>
      <w:r>
        <w:rPr>
          <w:rFonts w:ascii="Times New Roman" w:hAnsi="Times New Roman"/>
          <w:b w:val="false"/>
          <w:i w:val="false"/>
          <w:color w:val="000000"/>
          <w:sz w:val="21"/>
        </w:rPr>
        <w:t>[Filed 12/21/90, Notice 11/14/90—published 1/9/91, effective 2/13/91]</w:t>
      </w:r>
    </w:p>
    <w:p>
      <w:pPr>
        <w:spacing w:before="0" w:after="0"/>
        <w:ind w:left="120"/>
        <w:jc w:val="center"/>
      </w:pPr>
      <w:r>
        <w:rPr>
          <w:rFonts w:ascii="Times New Roman" w:hAnsi="Times New Roman"/>
          <w:b w:val="false"/>
          <w:i w:val="false"/>
          <w:color w:val="000000"/>
          <w:sz w:val="21"/>
        </w:rPr>
        <w:t>[Filed 9/13/91, Notice 8/7/91—published 10/2/91, effective 11/6/91]</w:t>
      </w:r>
    </w:p>
    <w:p>
      <w:pPr>
        <w:spacing w:before="0" w:after="0"/>
        <w:ind w:left="120"/>
        <w:jc w:val="center"/>
      </w:pPr>
      <w:r>
        <w:rPr>
          <w:rFonts w:ascii="Times New Roman" w:hAnsi="Times New Roman"/>
          <w:b w:val="false"/>
          <w:i w:val="false"/>
          <w:color w:val="000000"/>
          <w:sz w:val="21"/>
        </w:rPr>
        <w:t>[Filed 10/23/92, Notice 9/16/92—published 11/11/92, effective 12/16/92]</w:t>
      </w:r>
    </w:p>
    <w:p>
      <w:pPr>
        <w:spacing w:before="0" w:after="0"/>
        <w:ind w:left="120"/>
        <w:jc w:val="center"/>
      </w:pPr>
      <w:r>
        <w:rPr>
          <w:rFonts w:ascii="Times New Roman" w:hAnsi="Times New Roman"/>
          <w:b w:val="false"/>
          <w:i w:val="false"/>
          <w:color w:val="000000"/>
          <w:sz w:val="21"/>
        </w:rPr>
        <w:t>[Filed 11/16/94, Notice 9/14/94—published 12/7/94, effective 1/11/95]</w:t>
      </w:r>
    </w:p>
    <w:p>
      <w:pPr>
        <w:spacing w:before="0" w:after="0"/>
        <w:ind w:left="120"/>
        <w:jc w:val="center"/>
      </w:pPr>
      <w:r>
        <w:rPr>
          <w:rFonts w:ascii="Times New Roman" w:hAnsi="Times New Roman"/>
          <w:b w:val="false"/>
          <w:i w:val="false"/>
          <w:color w:val="000000"/>
          <w:sz w:val="21"/>
        </w:rPr>
        <w:t>[Filed 6/16/95, Notice 5/10/95—published 7/5/95, effective 8/9/95]</w:t>
      </w:r>
    </w:p>
    <w:p>
      <w:pPr>
        <w:spacing w:before="0" w:after="0"/>
        <w:ind w:left="120"/>
        <w:jc w:val="center"/>
      </w:pPr>
      <w:r>
        <w:rPr>
          <w:rFonts w:ascii="Times New Roman" w:hAnsi="Times New Roman"/>
          <w:b w:val="false"/>
          <w:i w:val="false"/>
          <w:color w:val="000000"/>
          <w:sz w:val="21"/>
        </w:rPr>
        <w:t>[Filed 12/28/95, Notice 11/22/95—published 1/17/96, effective 2/21/96]</w:t>
      </w:r>
    </w:p>
    <w:p>
      <w:pPr>
        <w:spacing w:before="0" w:after="0"/>
        <w:ind w:left="120"/>
        <w:jc w:val="center"/>
      </w:pPr>
      <w:r>
        <w:rPr>
          <w:rFonts w:ascii="Times New Roman" w:hAnsi="Times New Roman"/>
          <w:b w:val="false"/>
          <w:i w:val="false"/>
          <w:color w:val="000000"/>
          <w:sz w:val="21"/>
        </w:rPr>
        <w:t>[Filed 8/22/96, Notice 7/17/96—published 9/11/96, effective 10/16/96]</w:t>
      </w:r>
    </w:p>
    <w:p>
      <w:pPr>
        <w:spacing w:before="0" w:after="0"/>
        <w:ind w:left="120"/>
        <w:jc w:val="center"/>
      </w:pPr>
      <w:r>
        <w:rPr>
          <w:rFonts w:ascii="Times New Roman" w:hAnsi="Times New Roman"/>
          <w:b w:val="false"/>
          <w:i w:val="false"/>
          <w:color w:val="000000"/>
          <w:sz w:val="21"/>
        </w:rPr>
        <w:t xml:space="preserve">[Transferred from 345—Ch 3 to </w:t>
      </w:r>
      <w:hyperlink r:id="rId164">
        <w:r>
          <w:rPr>
            <w:rStyle w:val="Hyperlink"/>
            <w:rFonts w:ascii="Times New Roman" w:hAnsi="Times New Roman"/>
            <w:b w:val="false"/>
            <w:i w:val="false"/>
            <w:color w:val="000000"/>
            <w:sz w:val="21"/>
          </w:rPr>
          <w:t>871—Ch 23</w:t>
        </w:r>
      </w:hyperlink>
      <w:r>
        <w:rPr>
          <w:rFonts w:ascii="Times New Roman" w:hAnsi="Times New Roman"/>
          <w:b w:val="false"/>
          <w:i w:val="false"/>
          <w:color w:val="000000"/>
          <w:sz w:val="21"/>
        </w:rPr>
        <w:t xml:space="preserve"> IAC Supplement 3/12/97]</w:t>
      </w:r>
    </w:p>
    <w:p>
      <w:pPr>
        <w:spacing w:before="0" w:after="0"/>
        <w:ind w:left="120"/>
        <w:jc w:val="center"/>
      </w:pPr>
      <w:r>
        <w:rPr>
          <w:rFonts w:ascii="Times New Roman" w:hAnsi="Times New Roman"/>
          <w:b w:val="false"/>
          <w:i w:val="false"/>
          <w:color w:val="000000"/>
          <w:sz w:val="21"/>
        </w:rPr>
        <w:t>[Filed 1/20/99, Notice 12/16/98—published 2/10/99, effective 3/17/99]</w:t>
      </w:r>
    </w:p>
    <w:p>
      <w:pPr>
        <w:spacing w:before="0" w:after="0"/>
        <w:ind w:left="120"/>
        <w:jc w:val="center"/>
      </w:pPr>
      <w:r>
        <w:rPr>
          <w:rFonts w:ascii="Times New Roman" w:hAnsi="Times New Roman"/>
          <w:b w:val="false"/>
          <w:i w:val="false"/>
          <w:color w:val="000000"/>
          <w:sz w:val="21"/>
        </w:rPr>
        <w:t>[Filed 3/3/00, Notice 1/26/00—published 3/22/00, effective 4/26/00]</w:t>
      </w:r>
    </w:p>
    <w:p>
      <w:pPr>
        <w:spacing w:before="0" w:after="0"/>
        <w:ind w:left="120"/>
        <w:jc w:val="center"/>
      </w:pPr>
      <w:r>
        <w:rPr>
          <w:rFonts w:ascii="Times New Roman" w:hAnsi="Times New Roman"/>
          <w:b w:val="false"/>
          <w:i w:val="false"/>
          <w:color w:val="000000"/>
          <w:sz w:val="21"/>
        </w:rPr>
        <w:t>[Filed 10/24/01, Notice 9/19/01—published 11/14/01, effective 12/19/01]</w:t>
      </w:r>
    </w:p>
    <w:p>
      <w:pPr>
        <w:spacing w:before="0" w:after="0"/>
        <w:ind w:left="120"/>
        <w:jc w:val="center"/>
      </w:pPr>
      <w:r>
        <w:rPr>
          <w:rFonts w:ascii="Times New Roman" w:hAnsi="Times New Roman"/>
          <w:b w:val="false"/>
          <w:i w:val="false"/>
          <w:color w:val="000000"/>
          <w:sz w:val="21"/>
        </w:rPr>
        <w:t>[Filed 4/24/03, Notice 3/19/03—published 5/14/03, effective 6/18/03]</w:t>
      </w:r>
    </w:p>
    <w:p>
      <w:pPr>
        <w:spacing w:before="0" w:after="0"/>
        <w:ind w:left="120"/>
        <w:jc w:val="center"/>
      </w:pPr>
      <w:r>
        <w:rPr>
          <w:rFonts w:ascii="Times New Roman" w:hAnsi="Times New Roman"/>
          <w:b w:val="false"/>
          <w:i w:val="false"/>
          <w:color w:val="000000"/>
          <w:sz w:val="21"/>
        </w:rPr>
        <w:t>[Filed 1/27/06, Notice 12/21/05—published 2/15/06, effective 3/22/06]</w:t>
      </w:r>
    </w:p>
    <w:p>
      <w:pPr>
        <w:spacing w:before="0" w:after="0"/>
        <w:ind w:left="120"/>
        <w:jc w:val="center"/>
      </w:pPr>
      <w:r>
        <w:rPr>
          <w:rFonts w:ascii="Times New Roman" w:hAnsi="Times New Roman"/>
          <w:b w:val="false"/>
          <w:i w:val="false"/>
          <w:color w:val="000000"/>
          <w:sz w:val="21"/>
        </w:rPr>
        <w:t>[Filed ARC 8711B</w:t>
      </w:r>
      <w:r>
        <w:rPr>
          <w:rFonts w:ascii="Times New Roman" w:hAnsi="Times New Roman"/>
          <w:b w:val="false"/>
          <w:i w:val="false"/>
          <w:color w:val="000000"/>
          <w:sz w:val="21"/>
        </w:rPr>
        <w:t xml:space="preserve"> (Notice ARC 8583B, IAB 3/10/10)</w:t>
      </w:r>
      <w:r>
        <w:rPr>
          <w:rFonts w:ascii="Times New Roman" w:hAnsi="Times New Roman"/>
          <w:b w:val="false"/>
          <w:i w:val="false"/>
          <w:color w:val="000000"/>
          <w:sz w:val="21"/>
        </w:rPr>
        <w:t>, IAB 5/5/10, effective 6/9/10]</w:t>
      </w:r>
    </w:p>
    <w:p>
      <w:pPr>
        <w:spacing w:before="0" w:after="0"/>
        <w:ind w:left="120"/>
        <w:jc w:val="center"/>
      </w:pPr>
      <w:r>
        <w:rPr>
          <w:rFonts w:ascii="Times New Roman" w:hAnsi="Times New Roman"/>
          <w:b w:val="false"/>
          <w:i w:val="false"/>
          <w:color w:val="000000"/>
          <w:sz w:val="21"/>
        </w:rPr>
        <w:t>[Filed ARC 3247C</w:t>
      </w:r>
      <w:r>
        <w:rPr>
          <w:rFonts w:ascii="Times New Roman" w:hAnsi="Times New Roman"/>
          <w:b w:val="false"/>
          <w:i w:val="false"/>
          <w:color w:val="000000"/>
          <w:sz w:val="21"/>
        </w:rPr>
        <w:t xml:space="preserve"> (Notice ARC 3070C, IAB 5/24/17)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ARC 3303C</w:t>
      </w:r>
      <w:r>
        <w:rPr>
          <w:rFonts w:ascii="Times New Roman" w:hAnsi="Times New Roman"/>
          <w:b w:val="false"/>
          <w:i w:val="false"/>
          <w:color w:val="000000"/>
          <w:sz w:val="21"/>
        </w:rPr>
        <w:t xml:space="preserve"> (Notice ARC 3178C, IAB 7/5/17)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[Filed ARC 3342C</w:t>
      </w:r>
      <w:r>
        <w:rPr>
          <w:rFonts w:ascii="Times New Roman" w:hAnsi="Times New Roman"/>
          <w:b w:val="false"/>
          <w:i w:val="false"/>
          <w:color w:val="000000"/>
          <w:sz w:val="21"/>
        </w:rPr>
        <w:t xml:space="preserve"> (Notice ARC 3226C, IAB 8/2/17)</w:t>
      </w:r>
      <w:r>
        <w:rPr>
          <w:rFonts w:ascii="Times New Roman" w:hAnsi="Times New Roman"/>
          <w:b w:val="false"/>
          <w:i w:val="false"/>
          <w:color w:val="000000"/>
          <w:sz w:val="21"/>
        </w:rPr>
        <w:t>, IAB 9/27/17, effective 11/1/17]</w:t>
      </w:r>
    </w:p>
    <w:p>
      <w:pPr>
        <w:spacing w:before="0" w:after="0"/>
        <w:ind w:left="120"/>
        <w:jc w:val="center"/>
      </w:pPr>
      <w:r>
        <w:rPr>
          <w:rFonts w:ascii="Times New Roman" w:hAnsi="Times New Roman"/>
          <w:b w:val="false"/>
          <w:i w:val="false"/>
          <w:color w:val="000000"/>
          <w:sz w:val="21"/>
        </w:rPr>
        <w:t>[Filed ARC 3401C</w:t>
      </w:r>
      <w:r>
        <w:rPr>
          <w:rFonts w:ascii="Times New Roman" w:hAnsi="Times New Roman"/>
          <w:b w:val="false"/>
          <w:i w:val="false"/>
          <w:color w:val="000000"/>
          <w:sz w:val="21"/>
        </w:rPr>
        <w:t xml:space="preserve"> (Notice ARC 3250C, IAB 8/16/17)</w:t>
      </w:r>
      <w:r>
        <w:rPr>
          <w:rFonts w:ascii="Times New Roman" w:hAnsi="Times New Roman"/>
          <w:b w:val="false"/>
          <w:i w:val="false"/>
          <w:color w:val="000000"/>
          <w:sz w:val="21"/>
        </w:rPr>
        <w:t>, IAB 10/11/17, effective 11/15/17]</w:t>
      </w:r>
      <w:r>
        <w:br/>
      </w:r>
      <w:r>
        <w:rPr>
          <w:rFonts w:ascii="Times New Roman" w:hAnsi="Times New Roman"/>
          <w:b w:val="false"/>
          <w:i w:val="false"/>
          <w:color w:val="000000"/>
          <w:sz w:val="21"/>
        </w:rPr>
        <w:t>[Filed ARC 3402C</w:t>
      </w:r>
      <w:r>
        <w:rPr>
          <w:rFonts w:ascii="Times New Roman" w:hAnsi="Times New Roman"/>
          <w:b w:val="false"/>
          <w:i w:val="false"/>
          <w:color w:val="000000"/>
          <w:sz w:val="21"/>
        </w:rPr>
        <w:t xml:space="preserve"> (Notice ARC 3254C, IAB 8/16/17)</w:t>
      </w:r>
      <w:r>
        <w:rPr>
          <w:rFonts w:ascii="Times New Roman" w:hAnsi="Times New Roman"/>
          <w:b w:val="false"/>
          <w:i w:val="false"/>
          <w:color w:val="000000"/>
          <w:sz w:val="21"/>
        </w:rPr>
        <w:t>, IAB 10/11/17, effective 11/15/17]</w:t>
      </w:r>
    </w:p>
    <w:p>
      <w:pPr>
        <w:spacing w:before="0" w:after="0"/>
        <w:ind w:left="120"/>
        <w:jc w:val="center"/>
      </w:pPr>
      <w:r>
        <w:rPr>
          <w:rFonts w:ascii="Times New Roman" w:hAnsi="Times New Roman"/>
          <w:b w:val="false"/>
          <w:i w:val="false"/>
          <w:color w:val="000000"/>
          <w:sz w:val="21"/>
        </w:rPr>
        <w:t>[Filed ARC 3529C</w:t>
      </w:r>
      <w:r>
        <w:rPr>
          <w:rFonts w:ascii="Times New Roman" w:hAnsi="Times New Roman"/>
          <w:b w:val="false"/>
          <w:i w:val="false"/>
          <w:color w:val="000000"/>
          <w:sz w:val="21"/>
        </w:rPr>
        <w:t xml:space="preserve"> (Notice ARC 3325C, IAB 9/27/17)</w:t>
      </w:r>
      <w:r>
        <w:rPr>
          <w:rFonts w:ascii="Times New Roman" w:hAnsi="Times New Roman"/>
          <w:b w:val="false"/>
          <w:i w:val="false"/>
          <w:color w:val="000000"/>
          <w:sz w:val="21"/>
        </w:rPr>
        <w:t>, IAB 12/20/17, effective 1/24/18]</w:t>
      </w:r>
    </w:p>
    <w:p>
      <w:pPr>
        <w:spacing w:before="0" w:after="0"/>
        <w:ind w:left="120"/>
        <w:jc w:val="center"/>
      </w:pPr>
      <w:r>
        <w:rPr>
          <w:rFonts w:ascii="Times New Roman" w:hAnsi="Times New Roman"/>
          <w:b w:val="false"/>
          <w:i w:val="false"/>
          <w:color w:val="000000"/>
          <w:sz w:val="21"/>
        </w:rPr>
        <w:t>[Filed ARC 3562C</w:t>
      </w:r>
      <w:r>
        <w:rPr>
          <w:rFonts w:ascii="Times New Roman" w:hAnsi="Times New Roman"/>
          <w:b w:val="false"/>
          <w:i w:val="false"/>
          <w:color w:val="000000"/>
          <w:sz w:val="21"/>
        </w:rPr>
        <w:t xml:space="preserve"> (Notice ARC 3280C, IAB 8/30/17; </w:t>
      </w:r>
      <w:r>
        <w:rPr>
          <w:rFonts w:ascii="Times New Roman" w:hAnsi="Times New Roman"/>
          <w:b w:val="false"/>
          <w:i w:val="false"/>
          <w:color w:val="000000"/>
          <w:sz w:val="21"/>
        </w:rPr>
        <w:t xml:space="preserve">Amended Notice ARC 3380C, IAB 10/11/17; </w:t>
      </w:r>
      <w:r>
        <w:rPr>
          <w:rFonts w:ascii="Times New Roman" w:hAnsi="Times New Roman"/>
          <w:b w:val="false"/>
          <w:i w:val="false"/>
          <w:color w:val="000000"/>
          <w:sz w:val="21"/>
        </w:rPr>
        <w:t>Amended Notice ARC 3432C, IAB 10/25/17)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ARC 3647C</w:t>
      </w:r>
      <w:r>
        <w:rPr>
          <w:rFonts w:ascii="Times New Roman" w:hAnsi="Times New Roman"/>
          <w:b w:val="false"/>
          <w:i w:val="false"/>
          <w:color w:val="000000"/>
          <w:sz w:val="21"/>
        </w:rPr>
        <w:t xml:space="preserve"> (Notice ARC 3522C, IAB 12/20/17)</w:t>
      </w:r>
      <w:r>
        <w:rPr>
          <w:rFonts w:ascii="Times New Roman" w:hAnsi="Times New Roman"/>
          <w:b w:val="false"/>
          <w:i w:val="false"/>
          <w:color w:val="000000"/>
          <w:sz w:val="21"/>
        </w:rPr>
        <w:t>, IAB 2/14/18, effective 3/21/18]</w:t>
      </w:r>
    </w:p>
    <w:p>
      <w:pPr>
        <w:spacing w:before="0" w:after="0"/>
        <w:ind w:left="120"/>
        <w:jc w:val="center"/>
      </w:pPr>
      <w:r>
        <w:rPr>
          <w:rFonts w:ascii="Times New Roman" w:hAnsi="Times New Roman"/>
          <w:b w:val="false"/>
          <w:i w:val="false"/>
          <w:color w:val="000000"/>
          <w:sz w:val="21"/>
        </w:rPr>
        <w:t>[Filed ARC 4832C</w:t>
      </w:r>
      <w:r>
        <w:rPr>
          <w:rFonts w:ascii="Times New Roman" w:hAnsi="Times New Roman"/>
          <w:b w:val="false"/>
          <w:i w:val="false"/>
          <w:color w:val="000000"/>
          <w:sz w:val="21"/>
        </w:rPr>
        <w:t xml:space="preserve"> (Notice ARC 4649C, IAB 9/11/19)</w:t>
      </w:r>
      <w:r>
        <w:rPr>
          <w:rFonts w:ascii="Times New Roman" w:hAnsi="Times New Roman"/>
          <w:b w:val="false"/>
          <w:i w:val="false"/>
          <w:color w:val="000000"/>
          <w:sz w:val="21"/>
        </w:rPr>
        <w:t>, IAB 12/18/19, effective 1/22/20]</w:t>
      </w:r>
    </w:p>
    <w:p>
      <w:pPr>
        <w:spacing w:before="0" w:after="0"/>
        <w:ind w:left="120"/>
        <w:jc w:val="center"/>
      </w:pPr>
      <w:r>
        <w:rPr>
          <w:rFonts w:ascii="Times New Roman" w:hAnsi="Times New Roman"/>
          <w:b w:val="false"/>
          <w:i w:val="false"/>
          <w:color w:val="000000"/>
          <w:sz w:val="21"/>
        </w:rPr>
        <w:t>[Filed ARC 6893C</w:t>
      </w:r>
      <w:r>
        <w:rPr>
          <w:rFonts w:ascii="Times New Roman" w:hAnsi="Times New Roman"/>
          <w:b w:val="false"/>
          <w:i w:val="false"/>
          <w:color w:val="000000"/>
          <w:sz w:val="21"/>
        </w:rPr>
        <w:t xml:space="preserve"> (Notice ARC 6606C, IAB 10/19/22)</w:t>
      </w:r>
      <w:r>
        <w:rPr>
          <w:rFonts w:ascii="Times New Roman" w:hAnsi="Times New Roman"/>
          <w:b w:val="false"/>
          <w:i w:val="false"/>
          <w:color w:val="000000"/>
          <w:sz w:val="21"/>
        </w:rPr>
        <w:t>, IAB 2/22/23, effective 3/29/23]</w:t>
      </w:r>
    </w:p>
    <w:p>
      <w:pPr>
        <w:spacing w:before="0" w:after="0"/>
        <w:ind w:left="120"/>
        <w:jc w:val="center"/>
      </w:pPr>
      <w:r>
        <w:rPr>
          <w:rFonts w:ascii="Times New Roman" w:hAnsi="Times New Roman"/>
          <w:b w:val="false"/>
          <w:i w:val="false"/>
          <w:color w:val="000000"/>
          <w:sz w:val="21"/>
        </w:rPr>
        <w:t>[Filed ARC 8848C</w:t>
      </w:r>
      <w:r>
        <w:rPr>
          <w:rFonts w:ascii="Times New Roman" w:hAnsi="Times New Roman"/>
          <w:b w:val="false"/>
          <w:i w:val="false"/>
          <w:color w:val="000000"/>
          <w:sz w:val="21"/>
        </w:rPr>
        <w:t xml:space="preserve"> (Notice ARC 8408C, IAB 11/27/24)</w:t>
      </w:r>
      <w:r>
        <w:rPr>
          <w:rFonts w:ascii="Times New Roman" w:hAnsi="Times New Roman"/>
          <w:b w:val="false"/>
          <w:i w:val="false"/>
          <w:color w:val="000000"/>
          <w:sz w:val="21"/>
        </w:rPr>
        <w:t>, IAB 1/22/25, effective 2/26/25]</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Agency rescinded prior to effective date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6.1A.pdf" Type="http://schemas.openxmlformats.org/officeDocument/2006/relationships/hyperlink" Id="rId5"/>
    <Relationship TargetMode="External" Target="https://www.legis.iowa.gov/docs/ico/chapter/96.1A.pdf" Type="http://schemas.openxmlformats.org/officeDocument/2006/relationships/hyperlink" Id="rId6"/>
    <Relationship TargetMode="External" Target="https://www.legis.iowa.gov/docs/ico/chapter/96.1A.pdf" Type="http://schemas.openxmlformats.org/officeDocument/2006/relationships/hyperlink" Id="rId7"/>
    <Relationship TargetMode="External" Target="https://www.legis.iowa.gov/docs/ico/chapter/96.1A.pdf" Type="http://schemas.openxmlformats.org/officeDocument/2006/relationships/hyperlink" Id="rId8"/>
    <Relationship TargetMode="External" Target="https://www.legis.iowa.gov/docs/ico/chapter/96.13.pdf" Type="http://schemas.openxmlformats.org/officeDocument/2006/relationships/hyperlink" Id="rId9"/>
    <Relationship TargetMode="External" Target="https://www.legis.iowa.gov/docs/ico/chapter/96.13.pdf" Type="http://schemas.openxmlformats.org/officeDocument/2006/relationships/hyperlink" Id="rId10"/>
    <Relationship TargetMode="External" Target="https://www.legis.iowa.gov/docs/ico/chapter/96.7.pdf" Type="http://schemas.openxmlformats.org/officeDocument/2006/relationships/hyperlink" Id="rId11"/>
    <Relationship TargetMode="External" Target="https://www.legis.iowa.gov/docs/ico/chapter/96.9.pdf" Type="http://schemas.openxmlformats.org/officeDocument/2006/relationships/hyperlink" Id="rId12"/>
    <Relationship TargetMode="External" Target="https://www.legis.iowa.gov/docs/ico/chapter/96.9.pdf" Type="http://schemas.openxmlformats.org/officeDocument/2006/relationships/hyperlink" Id="rId13"/>
    <Relationship TargetMode="External" Target="https://www.legis.iowa.gov/docs/ico/chapter/96.1A.pdf" Type="http://schemas.openxmlformats.org/officeDocument/2006/relationships/hyperlink" Id="rId14"/>
    <Relationship TargetMode="External" Target="https://www.legis.iowa.gov/docs/ico/chapter/96.7.pdf" Type="http://schemas.openxmlformats.org/officeDocument/2006/relationships/hyperlink" Id="rId15"/>
    <Relationship TargetMode="External" Target="https://www.legis.iowa.gov/docs/ico/chapter/96.7.pdf" Type="http://schemas.openxmlformats.org/officeDocument/2006/relationships/hyperlink" Id="rId16"/>
    <Relationship TargetMode="External" Target="https://www.legis.iowa.gov/docs/iac/rule/871.96.7.pdf" Type="http://schemas.openxmlformats.org/officeDocument/2006/relationships/hyperlink" Id="rId17"/>
    <Relationship TargetMode="External" Target="https://www.legis.iowa.gov/docs/iac/rule/871.23.2.pdf" Type="http://schemas.openxmlformats.org/officeDocument/2006/relationships/hyperlink" Id="rId18"/>
    <Relationship TargetMode="External" Target="https://www.legis.iowa.gov/docs/iac/rule/871.23.2.pdf" Type="http://schemas.openxmlformats.org/officeDocument/2006/relationships/hyperlink" Id="rId19"/>
    <Relationship TargetMode="External" Target="https://www.legis.iowa.gov/docs/iac/rule/871.23.2.pdf" Type="http://schemas.openxmlformats.org/officeDocument/2006/relationships/hyperlink" Id="rId20"/>
    <Relationship TargetMode="External" Target="https://www.legis.iowa.gov/docs/iac/rule/871.23.2.pdf" Type="http://schemas.openxmlformats.org/officeDocument/2006/relationships/hyperlink" Id="rId21"/>
    <Relationship TargetMode="External" Target="https://www.legis.iowa.gov/docs/ico/chapter/96.1A.pdf" Type="http://schemas.openxmlformats.org/officeDocument/2006/relationships/hyperlink" Id="rId22"/>
    <Relationship TargetMode="External" Target="https://www.legis.iowa.gov/docs/ico/chapter/96.1A.pdf" Type="http://schemas.openxmlformats.org/officeDocument/2006/relationships/hyperlink" Id="rId23"/>
    <Relationship TargetMode="External" Target="https://www.legis.iowa.gov/docs/ico/chapter/96.1A.pdf" Type="http://schemas.openxmlformats.org/officeDocument/2006/relationships/hyperlink" Id="rId24"/>
    <Relationship TargetMode="External" Target="https://www.legis.iowa.gov/docs/ico/chapter/96.1A.pdf" Type="http://schemas.openxmlformats.org/officeDocument/2006/relationships/hyperlink" Id="rId25"/>
    <Relationship TargetMode="External" Target="https://www.legis.iowa.gov/docs/ico/chapter/96.1A.pdf" Type="http://schemas.openxmlformats.org/officeDocument/2006/relationships/hyperlink" Id="rId26"/>
    <Relationship TargetMode="External" Target="https://www.legis.iowa.gov/docs/ico/chapter/96.5.pdf" Type="http://schemas.openxmlformats.org/officeDocument/2006/relationships/hyperlink" Id="rId27"/>
    <Relationship TargetMode="External" Target="https://www.legis.iowa.gov/docs/ico/chapter/96.1A.pdf" Type="http://schemas.openxmlformats.org/officeDocument/2006/relationships/hyperlink" Id="rId28"/>
    <Relationship TargetMode="External" Target="https://www.legis.iowa.gov/docs/ico/chapter/96.3.pdf" Type="http://schemas.openxmlformats.org/officeDocument/2006/relationships/hyperlink" Id="rId29"/>
    <Relationship TargetMode="External" Target="https://www.legis.iowa.gov/docs/ico/chapter/96.1A.pdf" Type="http://schemas.openxmlformats.org/officeDocument/2006/relationships/hyperlink" Id="rId30"/>
    <Relationship TargetMode="External" Target="https://www.legis.iowa.gov/docs/ico/chapter/96.1A.pdf" Type="http://schemas.openxmlformats.org/officeDocument/2006/relationships/hyperlink" Id="rId31"/>
    <Relationship TargetMode="External" Target="https://www.legis.iowa.gov/docs/iac/rule/871.23.82.pdf" Type="http://schemas.openxmlformats.org/officeDocument/2006/relationships/hyperlink" Id="rId32"/>
    <Relationship TargetMode="External" Target="https://www.legis.iowa.gov/docs/ico/chapter/96.7.pdf" Type="http://schemas.openxmlformats.org/officeDocument/2006/relationships/hyperlink" Id="rId33"/>
    <Relationship TargetMode="External" Target="https://www.legis.iowa.gov/docs/ico/chapter/96.7.pdf" Type="http://schemas.openxmlformats.org/officeDocument/2006/relationships/hyperlink" Id="rId34"/>
    <Relationship TargetMode="External" Target="https://www.legis.iowa.gov/docs/ico/chapter/96.14.pdf" Type="http://schemas.openxmlformats.org/officeDocument/2006/relationships/hyperlink" Id="rId35"/>
    <Relationship TargetMode="External" Target="https://www.legis.iowa.gov/docs/ico/chapter/96.7.pdf" Type="http://schemas.openxmlformats.org/officeDocument/2006/relationships/hyperlink" Id="rId36"/>
    <Relationship TargetMode="External" Target="https://www.legis.iowa.gov/docs/ico/chapter/96.7.pdf" Type="http://schemas.openxmlformats.org/officeDocument/2006/relationships/hyperlink" Id="rId37"/>
    <Relationship TargetMode="External" Target="https://www.legis.iowa.gov/docs/ico/chapter/96.7.pdf" Type="http://schemas.openxmlformats.org/officeDocument/2006/relationships/hyperlink" Id="rId38"/>
    <Relationship TargetMode="External" Target="https://www.legis.iowa.gov/docs/ico/chapter/96.7.pdf" Type="http://schemas.openxmlformats.org/officeDocument/2006/relationships/hyperlink" Id="rId39"/>
    <Relationship TargetMode="External" Target="https://www.legis.iowa.gov/docs/iac/rule/871.23.24.pdf" Type="http://schemas.openxmlformats.org/officeDocument/2006/relationships/hyperlink" Id="rId40"/>
    <Relationship TargetMode="External" Target="https://www.legis.iowa.gov/docs/ico/chapter/96.20.pdf" Type="http://schemas.openxmlformats.org/officeDocument/2006/relationships/hyperlink" Id="rId41"/>
    <Relationship TargetMode="External" Target="https://www.legis.iowa.gov/docs/ico/chapter/96.8.pdf" Type="http://schemas.openxmlformats.org/officeDocument/2006/relationships/hyperlink" Id="rId42"/>
    <Relationship TargetMode="External" Target="https://www.legis.iowa.gov/docs/ico/chapter/96.8.pdf" Type="http://schemas.openxmlformats.org/officeDocument/2006/relationships/hyperlink" Id="rId43"/>
    <Relationship TargetMode="External" Target="https://www.legis.iowa.gov/docs/ico/chapter/96.8.pdf" Type="http://schemas.openxmlformats.org/officeDocument/2006/relationships/hyperlink" Id="rId44"/>
    <Relationship TargetMode="External" Target="https://www.legis.iowa.gov/docs/ico/chapter/96.pdf" Type="http://schemas.openxmlformats.org/officeDocument/2006/relationships/hyperlink" Id="rId45"/>
    <Relationship TargetMode="External" Target="https://www.legis.iowa.gov/docs/ico/chapter/96.1A.pdf" Type="http://schemas.openxmlformats.org/officeDocument/2006/relationships/hyperlink" Id="rId46"/>
    <Relationship TargetMode="External" Target="https://www.legis.iowa.gov/docs/ico/chapter/96.1A.pdf" Type="http://schemas.openxmlformats.org/officeDocument/2006/relationships/hyperlink" Id="rId47"/>
    <Relationship TargetMode="External" Target="https://www.legis.iowa.gov/docs/ico/chapter/96.1A.pdf" Type="http://schemas.openxmlformats.org/officeDocument/2006/relationships/hyperlink" Id="rId48"/>
    <Relationship TargetMode="External" Target="https://www.legis.iowa.gov/docs/ico/chapter/96.1A.pdf" Type="http://schemas.openxmlformats.org/officeDocument/2006/relationships/hyperlink" Id="rId49"/>
    <Relationship TargetMode="External" Target="https://www.legis.iowa.gov/docs/ico/chapter/96.1A.pdf" Type="http://schemas.openxmlformats.org/officeDocument/2006/relationships/hyperlink" Id="rId50"/>
    <Relationship TargetMode="External" Target="https://www.legis.iowa.gov/docs/ico/chapter/96.1A.pdf" Type="http://schemas.openxmlformats.org/officeDocument/2006/relationships/hyperlink" Id="rId51"/>
    <Relationship TargetMode="External" Target="https://www.legis.iowa.gov/docs/ico/chapter/96.1A.pdf" Type="http://schemas.openxmlformats.org/officeDocument/2006/relationships/hyperlink" Id="rId52"/>
    <Relationship TargetMode="External" Target="https://www.legis.iowa.gov/docs/iac/rule/871.23.19.pdf" Type="http://schemas.openxmlformats.org/officeDocument/2006/relationships/hyperlink" Id="rId53"/>
    <Relationship TargetMode="External" Target="https://www.legis.iowa.gov/docs/ico/chapter/96.1A.pdf" Type="http://schemas.openxmlformats.org/officeDocument/2006/relationships/hyperlink" Id="rId54"/>
    <Relationship TargetMode="External" Target="https://www.legis.iowa.gov/docs/ico/chapter/96.1A.pdf" Type="http://schemas.openxmlformats.org/officeDocument/2006/relationships/hyperlink" Id="rId55"/>
    <Relationship TargetMode="External" Target="https://www.legis.iowa.gov/docs/ico/chapter/96.1A.pdf" Type="http://schemas.openxmlformats.org/officeDocument/2006/relationships/hyperlink" Id="rId56"/>
    <Relationship TargetMode="External" Target="https://www.legis.iowa.gov/docs/ico/chapter/96.1A.pdf" Type="http://schemas.openxmlformats.org/officeDocument/2006/relationships/hyperlink" Id="rId57"/>
    <Relationship TargetMode="External" Target="https://www.legis.iowa.gov/docs/iac/rule/871.23.26.pdf" Type="http://schemas.openxmlformats.org/officeDocument/2006/relationships/hyperlink" Id="rId58"/>
    <Relationship TargetMode="External" Target="https://www.legis.iowa.gov/docs/ico/chapter/96.1A.pdf" Type="http://schemas.openxmlformats.org/officeDocument/2006/relationships/hyperlink" Id="rId59"/>
    <Relationship TargetMode="External" Target="https://www.legis.iowa.gov/docs/ico/chapter/96.1A.pdf" Type="http://schemas.openxmlformats.org/officeDocument/2006/relationships/hyperlink" Id="rId60"/>
    <Relationship TargetMode="External" Target="https://www.legis.iowa.gov/docs/ico/chapter/96.pdf" Type="http://schemas.openxmlformats.org/officeDocument/2006/relationships/hyperlink" Id="rId61"/>
    <Relationship TargetMode="External" Target="https://www.legis.iowa.gov/docs/ico/chapter/96.pdf" Type="http://schemas.openxmlformats.org/officeDocument/2006/relationships/hyperlink" Id="rId62"/>
    <Relationship TargetMode="External" Target="https://www.legis.iowa.gov/docs/ico/chapter/96.1A.pdf" Type="http://schemas.openxmlformats.org/officeDocument/2006/relationships/hyperlink" Id="rId63"/>
    <Relationship TargetMode="External" Target="https://www.legis.iowa.gov/docs/ico/chapter/96.1A.pdf" Type="http://schemas.openxmlformats.org/officeDocument/2006/relationships/hyperlink" Id="rId64"/>
    <Relationship TargetMode="External" Target="https://www.legis.iowa.gov/docs/ico/chapter/96.1A.pdf" Type="http://schemas.openxmlformats.org/officeDocument/2006/relationships/hyperlink" Id="rId65"/>
    <Relationship TargetMode="External" Target="https://www.legis.iowa.gov/docs/ico/chapter/96.7.pdf" Type="http://schemas.openxmlformats.org/officeDocument/2006/relationships/hyperlink" Id="rId66"/>
    <Relationship TargetMode="External" Target="https://www.legis.iowa.gov/docs/ico/chapter/96.pdf" Type="http://schemas.openxmlformats.org/officeDocument/2006/relationships/hyperlink" Id="rId67"/>
    <Relationship TargetMode="External" Target="https://www.legis.iowa.gov/docs/ico/chapter/96.7.pdf" Type="http://schemas.openxmlformats.org/officeDocument/2006/relationships/hyperlink" Id="rId68"/>
    <Relationship TargetMode="External" Target="https://www.legis.iowa.gov/docs/ico/chapter/96.8.pdf" Type="http://schemas.openxmlformats.org/officeDocument/2006/relationships/hyperlink" Id="rId69"/>
    <Relationship TargetMode="External" Target="https://www.legis.iowa.gov/docs/ico/chapter/96.1A.pdf" Type="http://schemas.openxmlformats.org/officeDocument/2006/relationships/hyperlink" Id="rId70"/>
    <Relationship TargetMode="External" Target="https://www.legis.iowa.gov/docs/ico/chapter/96.7.pdf" Type="http://schemas.openxmlformats.org/officeDocument/2006/relationships/hyperlink" Id="rId71"/>
    <Relationship TargetMode="External" Target="https://www.legis.iowa.gov/docs/ico/chapter/96.7.pdf" Type="http://schemas.openxmlformats.org/officeDocument/2006/relationships/hyperlink" Id="rId72"/>
    <Relationship TargetMode="External" Target="https://www.legis.iowa.gov/docs/ico/chapter/96.7.pdf" Type="http://schemas.openxmlformats.org/officeDocument/2006/relationships/hyperlink" Id="rId73"/>
    <Relationship TargetMode="External" Target="https://www.legis.iowa.gov/docs/ico/chapter/96.7.pdf" Type="http://schemas.openxmlformats.org/officeDocument/2006/relationships/hyperlink" Id="rId74"/>
    <Relationship TargetMode="External" Target="https://www.legis.iowa.gov/docs/ico/chapter/96.7.pdf" Type="http://schemas.openxmlformats.org/officeDocument/2006/relationships/hyperlink" Id="rId75"/>
    <Relationship TargetMode="External" Target="https://www.legis.iowa.gov/docs/ico/chapter/96.7.pdf" Type="http://schemas.openxmlformats.org/officeDocument/2006/relationships/hyperlink" Id="rId76"/>
    <Relationship TargetMode="External" Target="https://www.legis.iowa.gov/docs/ico/chapter/96.pdf" Type="http://schemas.openxmlformats.org/officeDocument/2006/relationships/hyperlink" Id="rId77"/>
    <Relationship TargetMode="External" Target="https://www.legis.iowa.gov/docs/ico/chapter/96.7.pdf" Type="http://schemas.openxmlformats.org/officeDocument/2006/relationships/hyperlink" Id="rId78"/>
    <Relationship TargetMode="External" Target="https://www.legis.iowa.gov/docs/ico/chapter/96.pdf" Type="http://schemas.openxmlformats.org/officeDocument/2006/relationships/hyperlink" Id="rId79"/>
    <Relationship TargetMode="External" Target="https://www.legis.iowa.gov/docs/iac/rule/871.23.52.pdf" Type="http://schemas.openxmlformats.org/officeDocument/2006/relationships/hyperlink" Id="rId80"/>
    <Relationship TargetMode="External" Target="https://www.legis.iowa.gov/docs/ico/chapter/96.7.pdf" Type="http://schemas.openxmlformats.org/officeDocument/2006/relationships/hyperlink" Id="rId81"/>
    <Relationship TargetMode="External" Target="https://www.legis.iowa.gov/docs/ico/chapter/96.7.pdf" Type="http://schemas.openxmlformats.org/officeDocument/2006/relationships/hyperlink" Id="rId82"/>
    <Relationship TargetMode="External" Target="https://www.legis.iowa.gov/docs/ico/chapter/96.7.pdf" Type="http://schemas.openxmlformats.org/officeDocument/2006/relationships/hyperlink" Id="rId83"/>
    <Relationship TargetMode="External" Target="https://www.legis.iowa.gov/docs/ico/chapter/96.16.pdf" Type="http://schemas.openxmlformats.org/officeDocument/2006/relationships/hyperlink" Id="rId84"/>
    <Relationship TargetMode="External" Target="https://www.legis.iowa.gov/docs/ico/chapter/96.8.pdf" Type="http://schemas.openxmlformats.org/officeDocument/2006/relationships/hyperlink" Id="rId85"/>
    <Relationship TargetMode="External" Target="https://www.legis.iowa.gov/docs/ico/chapter/96.8.pdf" Type="http://schemas.openxmlformats.org/officeDocument/2006/relationships/hyperlink" Id="rId86"/>
    <Relationship TargetMode="External" Target="https://www.legis.iowa.gov/docs/ico/chapter/96.14.pdf" Type="http://schemas.openxmlformats.org/officeDocument/2006/relationships/hyperlink" Id="rId87"/>
    <Relationship TargetMode="External" Target="https://www.legis.iowa.gov/docs/ico/chapter/96.14.pdf" Type="http://schemas.openxmlformats.org/officeDocument/2006/relationships/hyperlink" Id="rId88"/>
    <Relationship TargetMode="External" Target="https://www.legis.iowa.gov/docs/ico/chapter/96.7.pdf" Type="http://schemas.openxmlformats.org/officeDocument/2006/relationships/hyperlink" Id="rId89"/>
    <Relationship TargetMode="External" Target="https://www.legis.iowa.gov/docs/ico/chapter/96.7.pdf" Type="http://schemas.openxmlformats.org/officeDocument/2006/relationships/hyperlink" Id="rId90"/>
    <Relationship TargetMode="External" Target="https://www.legis.iowa.gov/docs/ico/chapter/96.7.pdf" Type="http://schemas.openxmlformats.org/officeDocument/2006/relationships/hyperlink" Id="rId91"/>
    <Relationship TargetMode="External" Target="https://www.legis.iowa.gov/docs/ico/chapter/96.1A.pdf" Type="http://schemas.openxmlformats.org/officeDocument/2006/relationships/hyperlink" Id="rId92"/>
    <Relationship TargetMode="External" Target="https://www.legis.iowa.gov/docs/ico/chapter/96.1A.pdf" Type="http://schemas.openxmlformats.org/officeDocument/2006/relationships/hyperlink" Id="rId93"/>
    <Relationship TargetMode="External" Target="https://www.legis.iowa.gov/docs/ico/chapter/96.3.pdf" Type="http://schemas.openxmlformats.org/officeDocument/2006/relationships/hyperlink" Id="rId94"/>
    <Relationship TargetMode="External" Target="https://www.legis.iowa.gov/docs/iac/rule/871.24.39.pdf" Type="http://schemas.openxmlformats.org/officeDocument/2006/relationships/hyperlink" Id="rId95"/>
    <Relationship TargetMode="External" Target="https://www.legis.iowa.gov/docs/ico/chapter/96.20.pdf" Type="http://schemas.openxmlformats.org/officeDocument/2006/relationships/hyperlink" Id="rId96"/>
    <Relationship TargetMode="External" Target="https://www.legis.iowa.gov/docs/ico/chapter/96.7.pdf" Type="http://schemas.openxmlformats.org/officeDocument/2006/relationships/hyperlink" Id="rId97"/>
    <Relationship TargetMode="External" Target="https://www.legis.iowa.gov/docs/ico/chapter/96.8.pdf" Type="http://schemas.openxmlformats.org/officeDocument/2006/relationships/hyperlink" Id="rId98"/>
    <Relationship TargetMode="External" Target="https://www.legis.iowa.gov/docs/iac/rule/871.24.46.pdf" Type="http://schemas.openxmlformats.org/officeDocument/2006/relationships/hyperlink" Id="rId99"/>
    <Relationship TargetMode="External" Target="https://www.legis.iowa.gov/docs/ico/chapter/96.3.pdf" Type="http://schemas.openxmlformats.org/officeDocument/2006/relationships/hyperlink" Id="rId100"/>
    <Relationship TargetMode="External" Target="https://www.legis.iowa.gov/docs/ico/chapter/96.5.pdf" Type="http://schemas.openxmlformats.org/officeDocument/2006/relationships/hyperlink" Id="rId101"/>
    <Relationship TargetMode="External" Target="https://www.legis.iowa.gov/docs/ico/chapter/96.6.pdf" Type="http://schemas.openxmlformats.org/officeDocument/2006/relationships/hyperlink" Id="rId102"/>
    <Relationship TargetMode="External" Target="https://www.legis.iowa.gov/docs/ico/chapter/96.7.pdf" Type="http://schemas.openxmlformats.org/officeDocument/2006/relationships/hyperlink" Id="rId103"/>
    <Relationship TargetMode="External" Target="https://www.legis.iowa.gov/docs/ico/chapter/96.8.pdf" Type="http://schemas.openxmlformats.org/officeDocument/2006/relationships/hyperlink" Id="rId104"/>
    <Relationship TargetMode="External" Target="https://www.legis.iowa.gov/docs/ico/chapter/96.9.pdf" Type="http://schemas.openxmlformats.org/officeDocument/2006/relationships/hyperlink" Id="rId105"/>
    <Relationship TargetMode="External" Target="https://www.legis.iowa.gov/docs/ico/chapter/96.11.pdf" Type="http://schemas.openxmlformats.org/officeDocument/2006/relationships/hyperlink" Id="rId106"/>
    <Relationship TargetMode="External" Target="https://www.legis.iowa.gov/docs/ico/chapter/96.16.pdf" Type="http://schemas.openxmlformats.org/officeDocument/2006/relationships/hyperlink" Id="rId107"/>
    <Relationship TargetMode="External" Target="https://www.legis.iowa.gov/docs/ico/chapter/96.29.pdf" Type="http://schemas.openxmlformats.org/officeDocument/2006/relationships/hyperlink" Id="rId108"/>
    <Relationship TargetMode="External" Target="https://www.legis.iowa.gov/docs/ico/chapter/96.7.pdf" Type="http://schemas.openxmlformats.org/officeDocument/2006/relationships/hyperlink" Id="rId109"/>
    <Relationship TargetMode="External" Target="https://www.legis.iowa.gov/docs/ico/chapter/96.11.pdf" Type="http://schemas.openxmlformats.org/officeDocument/2006/relationships/hyperlink" Id="rId110"/>
    <Relationship TargetMode="External" Target="https://www.legis.iowa.gov/docs/ico/chapter/96.20.pdf" Type="http://schemas.openxmlformats.org/officeDocument/2006/relationships/hyperlink" Id="rId111"/>
    <Relationship TargetMode="External" Target="https://www.legis.iowa.gov/docs/ico/chapter/96.7.pdf" Type="http://schemas.openxmlformats.org/officeDocument/2006/relationships/hyperlink" Id="rId112"/>
    <Relationship TargetMode="External" Target="https://www.legis.iowa.gov/docs/ico/chapter/96.8.pdf" Type="http://schemas.openxmlformats.org/officeDocument/2006/relationships/hyperlink" Id="rId113"/>
    <Relationship TargetMode="External" Target="https://www.legis.iowa.gov/docs/ico/chapter/96.7.pdf" Type="http://schemas.openxmlformats.org/officeDocument/2006/relationships/hyperlink" Id="rId114"/>
    <Relationship TargetMode="External" Target="https://www.legis.iowa.gov/docs/ico/chapter/96.8.pdf" Type="http://schemas.openxmlformats.org/officeDocument/2006/relationships/hyperlink" Id="rId115"/>
    <Relationship TargetMode="External" Target="https://www.legis.iowa.gov/docs/ico/chapter/96.8.pdf" Type="http://schemas.openxmlformats.org/officeDocument/2006/relationships/hyperlink" Id="rId116"/>
    <Relationship TargetMode="External" Target="https://www.legis.iowa.gov/docs/iac/rule/871.26.5.pdf" Type="http://schemas.openxmlformats.org/officeDocument/2006/relationships/hyperlink" Id="rId117"/>
    <Relationship TargetMode="External" Target="https://www.legis.iowa.gov/docs/ico/chapter/96.6.pdf" Type="http://schemas.openxmlformats.org/officeDocument/2006/relationships/hyperlink" Id="rId118"/>
    <Relationship TargetMode="External" Target="https://www.legis.iowa.gov/docs/ico/chapter/96.14.pdf" Type="http://schemas.openxmlformats.org/officeDocument/2006/relationships/hyperlink" Id="rId119"/>
    <Relationship TargetMode="External" Target="https://www.legis.iowa.gov/docs/ico/chapter/96.7.pdf" Type="http://schemas.openxmlformats.org/officeDocument/2006/relationships/hyperlink" Id="rId120"/>
    <Relationship TargetMode="External" Target="https://www.legis.iowa.gov/docs/ico/chapter/96.7.pdf" Type="http://schemas.openxmlformats.org/officeDocument/2006/relationships/hyperlink" Id="rId121"/>
    <Relationship TargetMode="External" Target="https://www.legis.iowa.gov/docs/ico/chapter/96.7.pdf" Type="http://schemas.openxmlformats.org/officeDocument/2006/relationships/hyperlink" Id="rId122"/>
    <Relationship TargetMode="External" Target="https://www.legis.iowa.gov/docs/ico/chapter/17A.pdf" Type="http://schemas.openxmlformats.org/officeDocument/2006/relationships/hyperlink" Id="rId123"/>
    <Relationship TargetMode="External" Target="https://www.legis.iowa.gov/docs/ico/chapter/17A.pdf" Type="http://schemas.openxmlformats.org/officeDocument/2006/relationships/hyperlink" Id="rId124"/>
    <Relationship TargetMode="External" Target="https://www.legis.iowa.gov/docs/ico/chapter/96.14.pdf" Type="http://schemas.openxmlformats.org/officeDocument/2006/relationships/hyperlink" Id="rId125"/>
    <Relationship TargetMode="External" Target="https://www.legis.iowa.gov/docs/ico/chapter/96.14.pdf" Type="http://schemas.openxmlformats.org/officeDocument/2006/relationships/hyperlink" Id="rId126"/>
    <Relationship TargetMode="External" Target="https://www.legis.iowa.gov/docs/ico/chapter/96.6.pdf" Type="http://schemas.openxmlformats.org/officeDocument/2006/relationships/hyperlink" Id="rId127"/>
    <Relationship TargetMode="External" Target="https://www.legis.iowa.gov/docs/ico/chapter/96.14.pdf" Type="http://schemas.openxmlformats.org/officeDocument/2006/relationships/hyperlink" Id="rId128"/>
    <Relationship TargetMode="External" Target="https://www.legis.iowa.gov/docs/ico/chapter/96.14.pdf" Type="http://schemas.openxmlformats.org/officeDocument/2006/relationships/hyperlink" Id="rId129"/>
    <Relationship TargetMode="External" Target="https://www.legis.iowa.gov/docs/ico/chapter/96.7.pdf" Type="http://schemas.openxmlformats.org/officeDocument/2006/relationships/hyperlink" Id="rId130"/>
    <Relationship TargetMode="External" Target="https://www.legis.iowa.gov/docs/ico/chapter/96.14.pdf" Type="http://schemas.openxmlformats.org/officeDocument/2006/relationships/hyperlink" Id="rId131"/>
    <Relationship TargetMode="External" Target="https://www.legis.iowa.gov/docs/ico/chapter/96.1A.pdf" Type="http://schemas.openxmlformats.org/officeDocument/2006/relationships/hyperlink" Id="rId132"/>
    <Relationship TargetMode="External" Target="https://www.legis.iowa.gov/docs/ico/chapter/96.14.pdf" Type="http://schemas.openxmlformats.org/officeDocument/2006/relationships/hyperlink" Id="rId133"/>
    <Relationship TargetMode="External" Target="https://www.legis.iowa.gov/docs/ico/chapter/96.14.pdf" Type="http://schemas.openxmlformats.org/officeDocument/2006/relationships/hyperlink" Id="rId134"/>
    <Relationship TargetMode="External" Target="https://www.legis.iowa.gov/docs/ico/chapter/96.16.pdf" Type="http://schemas.openxmlformats.org/officeDocument/2006/relationships/hyperlink" Id="rId135"/>
    <Relationship TargetMode="External" Target="https://www.legis.iowa.gov/docs/ico/chapter/96.14.pdf" Type="http://schemas.openxmlformats.org/officeDocument/2006/relationships/hyperlink" Id="rId136"/>
    <Relationship TargetMode="External" Target="https://www.legis.iowa.gov/docs/ico/chapter/96.14.pdf" Type="http://schemas.openxmlformats.org/officeDocument/2006/relationships/hyperlink" Id="rId137"/>
    <Relationship TargetMode="External" Target="https://www.legis.iowa.gov/docs/ico/chapter/96.14.pdf" Type="http://schemas.openxmlformats.org/officeDocument/2006/relationships/hyperlink" Id="rId138"/>
    <Relationship TargetMode="External" Target="https://www.legis.iowa.gov/docs/ico/chapter/96.14.pdf" Type="http://schemas.openxmlformats.org/officeDocument/2006/relationships/hyperlink" Id="rId139"/>
    <Relationship TargetMode="External" Target="https://www.legis.iowa.gov/docs/ico/chapter/96.14.pdf" Type="http://schemas.openxmlformats.org/officeDocument/2006/relationships/hyperlink" Id="rId140"/>
    <Relationship TargetMode="External" Target="https://www.legis.iowa.gov/docs/ico/chapter/96.14.pdf" Type="http://schemas.openxmlformats.org/officeDocument/2006/relationships/hyperlink" Id="rId141"/>
    <Relationship TargetMode="External" Target="https://www.legis.iowa.gov/docs/ico/chapter/96.14.pdf" Type="http://schemas.openxmlformats.org/officeDocument/2006/relationships/hyperlink" Id="rId142"/>
    <Relationship TargetMode="External" Target="https://www.legis.iowa.gov/docs/ico/chapter/96.14.pdf" Type="http://schemas.openxmlformats.org/officeDocument/2006/relationships/hyperlink" Id="rId143"/>
    <Relationship TargetMode="External" Target="https://www.legis.iowa.gov/docs/iac/rule/871.23.8.pdf" Type="http://schemas.openxmlformats.org/officeDocument/2006/relationships/hyperlink" Id="rId144"/>
    <Relationship TargetMode="External" Target="https://www.legis.iowa.gov/docs/iac/rule/871.23.67.pdf" Type="http://schemas.openxmlformats.org/officeDocument/2006/relationships/hyperlink" Id="rId145"/>
    <Relationship TargetMode="External" Target="https://www.legis.iowa.gov/docs/ico/chapter/96.7.pdf" Type="http://schemas.openxmlformats.org/officeDocument/2006/relationships/hyperlink" Id="rId146"/>
    <Relationship TargetMode="External" Target="https://www.legis.iowa.gov/docs/ico/chapter/96.7.pdf" Type="http://schemas.openxmlformats.org/officeDocument/2006/relationships/hyperlink" Id="rId147"/>
    <Relationship TargetMode="External" Target="https://www.legis.iowa.gov/docs/ico/chapter/96.14.pdf" Type="http://schemas.openxmlformats.org/officeDocument/2006/relationships/hyperlink" Id="rId148"/>
    <Relationship TargetMode="External" Target="https://www.legis.iowa.gov/docs/ico/chapter/96.pdf" Type="http://schemas.openxmlformats.org/officeDocument/2006/relationships/hyperlink" Id="rId149"/>
    <Relationship TargetMode="External" Target="https://www.legis.iowa.gov/docs/ico/chapter/96.14.pdf" Type="http://schemas.openxmlformats.org/officeDocument/2006/relationships/hyperlink" Id="rId150"/>
    <Relationship TargetMode="External" Target="https://www.legis.iowa.gov/docs/ico/chapter/96.7.pdf" Type="http://schemas.openxmlformats.org/officeDocument/2006/relationships/hyperlink" Id="rId151"/>
    <Relationship TargetMode="External" Target="https://www.legis.iowa.gov/docs/ico/chapter/96.7.pdf" Type="http://schemas.openxmlformats.org/officeDocument/2006/relationships/hyperlink" Id="rId152"/>
    <Relationship TargetMode="External" Target="https://www.legis.iowa.gov/docs/ico/chapter/96.7.pdf" Type="http://schemas.openxmlformats.org/officeDocument/2006/relationships/hyperlink" Id="rId153"/>
    <Relationship TargetMode="External" Target="https://www.legis.iowa.gov/docs/ico/chapter/96.1A.pdf" Type="http://schemas.openxmlformats.org/officeDocument/2006/relationships/hyperlink" Id="rId154"/>
    <Relationship TargetMode="External" Target="https://www.legis.iowa.gov/docs/ico/chapter/96.7.pdf" Type="http://schemas.openxmlformats.org/officeDocument/2006/relationships/hyperlink" Id="rId155"/>
    <Relationship TargetMode="External" Target="https://www.legis.iowa.gov/docs/ico/chapter/96.14.pdf" Type="http://schemas.openxmlformats.org/officeDocument/2006/relationships/hyperlink" Id="rId156"/>
    <Relationship TargetMode="External" Target="http://www.census.gov/naics" Type="http://schemas.openxmlformats.org/officeDocument/2006/relationships/hyperlink" Id="rId157"/>
    <Relationship TargetMode="External" Target="https://www.legis.iowa.gov/docs/ico/chapter/96.7.pdf" Type="http://schemas.openxmlformats.org/officeDocument/2006/relationships/hyperlink" Id="rId158"/>
    <Relationship TargetMode="External" Target="https://www.legis.iowa.gov/docs/ico/chapter/96.7.pdf" Type="http://schemas.openxmlformats.org/officeDocument/2006/relationships/hyperlink" Id="rId159"/>
    <Relationship TargetMode="External" Target="https://www.legis.iowa.gov/docs/ico/chapter/96.7.pdf" Type="http://schemas.openxmlformats.org/officeDocument/2006/relationships/hyperlink" Id="rId160"/>
    <Relationship TargetMode="External" Target="https://www.legis.iowa.gov/docs/ico/chapter/96.11.pdf" Type="http://schemas.openxmlformats.org/officeDocument/2006/relationships/hyperlink" Id="rId161"/>
    <Relationship TargetMode="External" Target="https://www.legis.iowa.gov/docs/ico/chapter/96.pdf" Type="http://schemas.openxmlformats.org/officeDocument/2006/relationships/hyperlink" Id="rId162"/>
    <Relationship TargetMode="External" Target="https://www.legis.iowa.gov/docs/ico/chapter/17A.6.pdf" Type="http://schemas.openxmlformats.org/officeDocument/2006/relationships/hyperlink" Id="rId163"/>
    <Relationship TargetMode="External" Target="https://www.legis.iowa.gov/docs/iac/chapter/871.23.pdf" Type="http://schemas.openxmlformats.org/officeDocument/2006/relationships/hyperlink" Id="rId16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