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2/11/09, see 661—Ch 25]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Scope.</w:t>
      </w:r>
      <w:r>
        <w:rPr>
          <w:rFonts w:ascii="Times New Roman" w:hAnsi="Times New Roman"/>
          <w:b w:val="false"/>
          <w:i w:val="false"/>
          <w:color w:val="000000"/>
          <w:sz w:val="22"/>
        </w:rPr>
        <w:t xml:space="preserve"> These rules are to provide notice of how the department keeps records and what the procedures are for access by the public. Nothing in these rules affects the access of information by law enforcement agencies, agencies of government or persons authorized by chapter </w:t>
      </w:r>
      <w:hyperlink r:id="rId5">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of the Iowa Code to receive information.</w:t>
      </w:r>
    </w:p>
    <w:p>
      <w:pPr>
        <w:spacing w:before="0" w:after="0"/>
        <w:ind w:left="120"/>
        <w:jc w:val="both"/>
      </w:pPr>
      <w:r>
        <w:rPr>
          <w:rFonts w:ascii="Times New Roman" w:hAnsi="Times New Roman"/>
          <w:b/>
          <w:i w:val="false"/>
          <w:color w:val="000000"/>
          <w:sz w:val="22"/>
        </w:rPr>
        <w:t>661—80.1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the Public Information Bureau,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A request for access to open records may be made in writing, by electronic mail, in person, or by telephone. The request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7">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 The custodian shall also provide to the requester an estimate of any fees which will be assessed to cover the costs of complying with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departmental office. If photocopy equipment is not available in the departmental office where an open record is kept, the custodian shall permit its examination in that office or a nearby location and shall arrange to have copies promptly made elsewhere. An electronic copy may be provided if mutually agreeable to the custodian and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agency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agency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fees. </w:t>
      </w:r>
      <w:r>
        <w:rPr>
          <w:rFonts w:ascii="Times New Roman" w:hAnsi="Times New Roman"/>
          <w:b w:val="false"/>
          <w:i w:val="false"/>
          <w:color w:val="000000"/>
          <w:sz w:val="22"/>
        </w:rPr>
        <w:t>Fees may be charged for actual agency expenses in searching for and supervising the examination and copying of requested records. The custodian shall notify the requester of the hourly fees to be charged for searching for records and supervision of records during examination and copying. That hourly fee shall not be in excess of the hourly wage of an agency employee who ordinarily would be appropriate and suitable to perform these search and supervisory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payment of the full amount of any fees previously owed and of any estimated fees for the new request prior to processing any new request from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661—80.4</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This rule contains the provisions governing public access to confidential records in addition to those specified for all records in rule </w:t>
      </w:r>
      <w:hyperlink r:id="rId9">
        <w:r>
          <w:rPr>
            <w:rStyle w:val="Hyperlink"/>
            <w:rFonts w:ascii="Times New Roman" w:hAnsi="Times New Roman"/>
            <w:b w:val="false"/>
            <w:i w:val="false"/>
            <w:color w:val="000000"/>
            <w:sz w:val="22"/>
          </w:rPr>
          <w:t>661—80.3</w:t>
        </w:r>
      </w:hyperlink>
      <w:r>
        <w:rPr>
          <w:rFonts w:ascii="Times New Roman" w:hAnsi="Times New Roman"/>
          <w:b w:val="false"/>
          <w:i w:val="false"/>
          <w:color w:val="000000"/>
          <w:sz w:val="22"/>
        </w:rPr>
        <w:t xml:space="preserve">(17A,22). These provisions do not apply to law enforcement agencies, agencies of government or persons authorized by Iowa Code chapter </w:t>
      </w:r>
      <w:hyperlink r:id="rId1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100A</w:t>
        </w:r>
      </w:hyperlink>
      <w:r>
        <w:rPr>
          <w:rFonts w:ascii="Times New Roman" w:hAnsi="Times New Roman"/>
          <w:b w:val="false"/>
          <w:i w:val="false"/>
          <w:color w:val="000000"/>
          <w:sz w:val="22"/>
        </w:rPr>
        <w:t xml:space="preserve"> to receive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val="false"/>
          <w:color w:val="000000"/>
          <w:sz w:val="22"/>
        </w:rPr>
        <w:t>Any person who would be substantially or irreparably injured by disclosure of all or a part of a record to members of the public may file a request, as provided in this rule, for its treatment as a confidential record. Failure of a person to request confidential record treatment for all or part of a record does not preclude the agency from treating it as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val="false"/>
          <w:color w:val="000000"/>
          <w:sz w:val="22"/>
        </w:rPr>
        <w:t>A request for the treatment of a record as a confidential record shall be in writing and shall be filed with the custodian of that record. The request shall include an enumeration of the specific grounds upon which examination would not be in the public interest; the specific provisions of law that authorize confidential record treatment; and the name, address, and telephone number of the person authorized to respond to any agency action concerning the request. A person filing a request shall, if possible, accompany the request with a copy of the record in question from which those portions for which confidential record treatment has been requested have been deleted. If the original record is being submitted to the agency by the person requesting confidentiality at the same time the request is filed, the person shall indicate conspicuously on the original record that all or portions of it are a confidential record. Requests for treatment of all or portions of a record as a confidential record for a limited time period shall also specify the precise period of time for which confidential record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request. 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sections </w:t>
      </w:r>
      <w:hyperlink r:id="rId1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80.5(4)</w:t>
      </w:r>
      <w:r>
        <w:rPr>
          <w:rFonts w:ascii="Times New Roman" w:hAnsi="Times New Roman"/>
          <w:b w:val="false"/>
          <w:i w:val="false"/>
          <w:color w:val="000000"/>
          <w:sz w:val="22"/>
        </w:rPr>
        <w:t> </w:t>
      </w:r>
      <w:r>
        <w:rPr>
          <w:rFonts w:ascii="Times New Roman" w:hAnsi="Times New Roman"/>
          <w:b w:val="false"/>
          <w:i w:val="false"/>
          <w:color w:val="000000"/>
          <w:sz w:val="22"/>
        </w:rPr>
        <w:t>Timing of decision. 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80.5(5)</w:t>
      </w:r>
      <w:r>
        <w:rPr>
          <w:rFonts w:ascii="Times New Roman" w:hAnsi="Times New Roman"/>
          <w:b w:val="false"/>
          <w:i w:val="false"/>
          <w:color w:val="000000"/>
          <w:sz w:val="22"/>
        </w:rPr>
        <w:t> </w:t>
      </w:r>
      <w:r>
        <w:rPr>
          <w:rFonts w:ascii="Times New Roman" w:hAnsi="Times New Roman"/>
          <w:b w:val="false"/>
          <w:i w:val="false"/>
          <w:color w:val="000000"/>
          <w:sz w:val="22"/>
        </w:rPr>
        <w:t>Request granted or deferred. 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80.5(6)</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denied. If a request for confidential record treatment is denied, the requester may seek review or relief under Iowa Code section </w:t>
      </w:r>
      <w:hyperlink r:id="rId1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Except as otherwise provided by law, the subject of a record shall have the right to have a written statement of additions, dissents, or objections entered into the record. The subject shall send the statement to the custodian of the record. The statement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This rule does not apply to criminal investigation, identification or intelligence files. Access to criminal history data shall be governed by Iowa Code section </w:t>
      </w:r>
      <w:hyperlink r:id="rId15">
        <w:r>
          <w:rPr>
            <w:rStyle w:val="Hyperlink"/>
            <w:rFonts w:ascii="Times New Roman" w:hAnsi="Times New Roman"/>
            <w:b w:val="false"/>
            <w:i w:val="false"/>
            <w:color w:val="000000"/>
            <w:sz w:val="22"/>
          </w:rPr>
          <w:t>692.5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The subject of a confidential record may consent to agency disclosure to a third party of that portion of the record concerning the subject. The consent must be in writing and must identify the particular record or records that may be disclosed, the particular person, or class of persons, to whom the record may be disclosed, and where applicable, the time period during which the record may be disclosed. The subject and, where applicable, the person to whom the record is to be disclosed may be required to provide proof of identity.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This rule does not apply to criminal investigation, identification or intelligence files. Access to criminal history data shall be governed by Iowa Code section </w:t>
      </w:r>
      <w:hyperlink r:id="rId16">
        <w:r>
          <w:rPr>
            <w:rStyle w:val="Hyperlink"/>
            <w:rFonts w:ascii="Times New Roman" w:hAnsi="Times New Roman"/>
            <w:b w:val="false"/>
            <w:i w:val="false"/>
            <w:color w:val="000000"/>
            <w:sz w:val="22"/>
          </w:rPr>
          <w:t>692.5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pageBreakBefore/>
        <w:spacing w:before="0" w:after="0"/>
        <w:ind w:left="120"/>
        <w:jc w:val="left"/>
      </w:pPr>
    </w:p>
    <w:p>
      <w:pPr>
        <w:spacing w:before="210" w:after="0"/>
        <w:ind w:left="120"/>
        <w:jc w:val="both"/>
      </w:pPr>
      <w:r>
        <w:rPr>
          <w:rFonts w:ascii="Times New Roman" w:hAnsi="Times New Roman"/>
          <w:b/>
          <w:i w:val="false"/>
          <w:color w:val="000000"/>
          <w:sz w:val="22"/>
        </w:rPr>
        <w:t>661—80.8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661—80.9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17">
        <w:r>
          <w:rPr>
            <w:rStyle w:val="Hyperlink"/>
            <w:rFonts w:ascii="Times New Roman" w:hAnsi="Times New Roman"/>
            <w:b w:val="false"/>
            <w:i w:val="false"/>
            <w:color w:val="000000"/>
            <w:sz w:val="22"/>
          </w:rPr>
          <w:t>661—80.10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Records retention manual. </w:t>
      </w:r>
      <w:r>
        <w:rPr>
          <w:rFonts w:ascii="Times New Roman" w:hAnsi="Times New Roman"/>
          <w:b w:val="false"/>
          <w:i w:val="false"/>
          <w:color w:val="000000"/>
          <w:sz w:val="22"/>
        </w:rPr>
        <w:t xml:space="preserve">The department’s “Records Retention Manual” contains the records management information required by Iowa Code chapter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manual is available for examination and copying at the Public Information Bureau, Department of Public Safety, State Public Safety Headquarters Building, 215 East 7th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661—80.12</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All departmental data processing systems that have common data elements can potentially match, collate or compare personally identifiable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661—80.13</w:t>
      </w:r>
      <w:r>
        <w:rPr>
          <w:rFonts w:ascii="Times New Roman" w:hAnsi="Times New Roman"/>
          <w:b/>
          <w:i w:val="false"/>
          <w:color w:val="000000"/>
          <w:sz w:val="22"/>
        </w:rPr>
        <w:t xml:space="preserve">(22)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 xml:space="preserve">This rule describes the types of departmental information or records that are confidential, in addition to those listed in Iowa Code chapter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This rule is not exhaustive.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Investigative reports including laboratory reports. (Iowa Code sections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Criminal histories. (Iowa Code sections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Intelligence reports. (Iowa Code sections </w:t>
      </w:r>
      <w:hyperlink r:id="rId2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Domestic abuse reports. Information which individually identifies perpetrators or victims of domestic abuse. (Iowa Code sections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236.9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Radio communication log where it contains criminal history and intelligence information. (Iowa Code sections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information in confidential personnel files including but not limited to evaluations, discipline, social security numbers, medical and psychological evaluations.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Complaint files, investigative files and similar information relating to private investigative agency licensees. (Iowa Code sections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80A.17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Records received from other agencies which would be confidential if created by the department. (Iowa Code sections </w:t>
      </w:r>
      <w:hyperlink r:id="rId3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report, manual, or other record which contains information concerning security procedures or emergency preparedness information related to the protection of employees of the department, employees of other agencies of state government, employees of other units of government, visitors to state government facilities or offices, other persons on premises controlled by any state or local government agency, or property owned by or under the control of the department, any other state agency, or any other unit of government, or information concerning security procedures or emergency preparedness information related to persons or property owned by or under the control of a private entity if that information was obtained by the department in relation to planning for emergencies or developing security procedures, or with an assurance that the information would be maintained as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661—80.14</w:t>
      </w:r>
      <w:r>
        <w:rPr>
          <w:rFonts w:ascii="Times New Roman" w:hAnsi="Times New Roman"/>
          <w:b/>
          <w:i w:val="false"/>
          <w:color w:val="000000"/>
          <w:sz w:val="22"/>
        </w:rPr>
        <w:t xml:space="preserve">(252J) </w:t>
      </w:r>
      <w:r>
        <w:rPr>
          <w:rFonts w:ascii="Times New Roman" w:hAnsi="Times New Roman"/>
          <w:b/>
          <w:i w:val="false"/>
          <w:color w:val="000000"/>
          <w:sz w:val="22"/>
        </w:rPr>
        <w:t xml:space="preserve">Release of confidential licensing information for child support recovery purposes. </w:t>
      </w:r>
      <w:r>
        <w:rPr>
          <w:rFonts w:ascii="Times New Roman" w:hAnsi="Times New Roman"/>
          <w:b w:val="false"/>
          <w:i w:val="false"/>
          <w:color w:val="000000"/>
          <w:sz w:val="22"/>
        </w:rPr>
        <w:t xml:space="preserve">Notwithstanding any statutory confidentiality provision, the department may share information with the child support recovery unit of the Iowa department of human services through manual or automated means for the sole purpose of identifying licensees or applicants subject to enforcement of child support orders pursuant to Iowa Code chapter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661—80.15</w:t>
      </w:r>
      <w:r>
        <w:rPr>
          <w:rFonts w:ascii="Times New Roman" w:hAnsi="Times New Roman"/>
          <w:b/>
          <w:i w:val="false"/>
          <w:color w:val="000000"/>
          <w:sz w:val="22"/>
        </w:rPr>
        <w:t xml:space="preserve">(22,80F) </w:t>
      </w:r>
      <w:r>
        <w:rPr>
          <w:rFonts w:ascii="Times New Roman" w:hAnsi="Times New Roman"/>
          <w:b/>
          <w:i w:val="false"/>
          <w:color w:val="000000"/>
          <w:sz w:val="22"/>
        </w:rPr>
        <w:t xml:space="preserve">Release of official photographs of or personal information about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photograph of or personal information about an employee of the department who is an officer as defined in Iowa Code section </w:t>
      </w:r>
      <w:hyperlink r:id="rId41">
        <w:r>
          <w:rPr>
            <w:rStyle w:val="Hyperlink"/>
            <w:rFonts w:ascii="Times New Roman" w:hAnsi="Times New Roman"/>
            <w:b w:val="false"/>
            <w:i w:val="false"/>
            <w:color w:val="000000"/>
            <w:sz w:val="22"/>
          </w:rPr>
          <w:t>80F.1</w:t>
        </w:r>
      </w:hyperlink>
      <w:r>
        <w:rPr>
          <w:rFonts w:ascii="Times New Roman" w:hAnsi="Times New Roman"/>
          <w:b w:val="false"/>
          <w:i w:val="false"/>
          <w:color w:val="000000"/>
          <w:sz w:val="22"/>
        </w:rPr>
        <w:t xml:space="preserve"> shall be released only if either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has signed a written release giving permission to release the photograph or personal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has been received to release the photograph or personal information pursuant to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80.15(2)</w:t>
      </w:r>
      <w:r>
        <w:rPr>
          <w:rFonts w:ascii="Times New Roman" w:hAnsi="Times New Roman"/>
          <w:b w:val="false"/>
          <w:i w:val="false"/>
          <w:color w:val="000000"/>
          <w:sz w:val="22"/>
        </w:rPr>
        <w:t> </w:t>
      </w:r>
      <w:r>
        <w:rPr>
          <w:rFonts w:ascii="Times New Roman" w:hAnsi="Times New Roman"/>
          <w:b w:val="false"/>
          <w:i w:val="false"/>
          <w:color w:val="000000"/>
          <w:sz w:val="22"/>
        </w:rPr>
        <w:t>A photograph of or personal information about any employee of the department shall not be released if its release could jeopardize an ongoing investigation or place the employee at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80.15(3)</w:t>
      </w:r>
      <w:r>
        <w:rPr>
          <w:rFonts w:ascii="Times New Roman" w:hAnsi="Times New Roman"/>
          <w:b w:val="false"/>
          <w:i w:val="false"/>
          <w:color w:val="000000"/>
          <w:sz w:val="22"/>
        </w:rPr>
        <w:t> </w:t>
      </w:r>
      <w:r>
        <w:rPr>
          <w:rFonts w:ascii="Times New Roman" w:hAnsi="Times New Roman"/>
          <w:b w:val="false"/>
          <w:i w:val="false"/>
          <w:color w:val="000000"/>
          <w:sz w:val="22"/>
        </w:rPr>
        <w:t>An officer’s personal information, including but not limited to the officer’s home address, personal telephone number, personal electronic mail address, date of birth, social security number, and driver’s license number, shall be confidential and redacted prior to a record’s release to the public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6230C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80F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7/1/88]</w:t>
      </w:r>
    </w:p>
    <w:p>
      <w:pPr>
        <w:spacing w:before="0" w:after="0"/>
        <w:ind w:left="120"/>
        <w:jc w:val="center"/>
      </w:pPr>
      <w:r>
        <w:rPr>
          <w:rFonts w:ascii="Times New Roman" w:hAnsi="Times New Roman"/>
          <w:b w:val="false"/>
          <w:i w:val="false"/>
          <w:color w:val="000000"/>
          <w:sz w:val="21"/>
        </w:rPr>
        <w:t>[Filed 7/25/96, Notice 6/19/96—published 8/14/96, effective 10/1/96]</w:t>
      </w:r>
    </w:p>
    <w:p>
      <w:pPr>
        <w:spacing w:before="0" w:after="0"/>
        <w:ind w:left="120"/>
        <w:jc w:val="center"/>
      </w:pPr>
      <w:r>
        <w:rPr>
          <w:rFonts w:ascii="Times New Roman" w:hAnsi="Times New Roman"/>
          <w:b w:val="false"/>
          <w:i w:val="false"/>
          <w:color w:val="000000"/>
          <w:sz w:val="21"/>
        </w:rPr>
        <w:t>[Filed emergency 6/25/07—published 7/18/07, effective 7/1/07]</w:t>
      </w:r>
    </w:p>
    <w:p>
      <w:pPr>
        <w:spacing w:before="0" w:after="0"/>
        <w:ind w:left="120"/>
        <w:jc w:val="center"/>
      </w:pPr>
      <w:r>
        <w:rPr>
          <w:rFonts w:ascii="Times New Roman" w:hAnsi="Times New Roman"/>
          <w:b w:val="false"/>
          <w:i w:val="false"/>
          <w:color w:val="000000"/>
          <w:sz w:val="21"/>
        </w:rPr>
        <w:t>[Filed ARC 7562B</w:t>
      </w:r>
      <w:r>
        <w:rPr>
          <w:rFonts w:ascii="Times New Roman" w:hAnsi="Times New Roman"/>
          <w:b w:val="false"/>
          <w:i w:val="false"/>
          <w:color w:val="000000"/>
          <w:sz w:val="21"/>
        </w:rPr>
        <w:t xml:space="preserve"> (Notice ARC 6916B, IAB 7/2/08)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6230C</w:t>
      </w:r>
      <w:r>
        <w:rPr>
          <w:rFonts w:ascii="Times New Roman" w:hAnsi="Times New Roman"/>
          <w:b w:val="false"/>
          <w:i w:val="false"/>
          <w:color w:val="000000"/>
          <w:sz w:val="21"/>
        </w:rPr>
        <w:t xml:space="preserve"> (Notice ARC 6052C, IAB 11/17/21)</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co/chapter/22.10.pdf" Type="http://schemas.openxmlformats.org/officeDocument/2006/relationships/hyperlink" Id="rId8"/>
    <Relationship TargetMode="External" Target="https://www.legis.iowa.gov/docs/iac/rule/661.80.3.pdf" Type="http://schemas.openxmlformats.org/officeDocument/2006/relationships/hyperlink" Id="rId9"/>
    <Relationship TargetMode="External" Target="https://www.legis.iowa.gov/docs/ico/chapter/692.pdf" Type="http://schemas.openxmlformats.org/officeDocument/2006/relationships/hyperlink" Id="rId10"/>
    <Relationship TargetMode="External" Target="https://www.legis.iowa.gov/docs/ico/chapter/100A.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8.pdf" Type="http://schemas.openxmlformats.org/officeDocument/2006/relationships/hyperlink" Id="rId14"/>
    <Relationship TargetMode="External" Target="https://www.legis.iowa.gov/docs/ico/chapter/692.5.pdf" Type="http://schemas.openxmlformats.org/officeDocument/2006/relationships/hyperlink" Id="rId15"/>
    <Relationship TargetMode="External" Target="https://www.legis.iowa.gov/docs/ico/chapter/692.5.pdf" Type="http://schemas.openxmlformats.org/officeDocument/2006/relationships/hyperlink" Id="rId16"/>
    <Relationship TargetMode="External" Target="https://www.legis.iowa.gov/docs/iac/rule/661.80.10.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22.11.pdf" Type="http://schemas.openxmlformats.org/officeDocument/2006/relationships/hyperlink" Id="rId22"/>
    <Relationship TargetMode="External" Target="https://www.legis.iowa.gov/docs/ico/chapter/692.2.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92.2.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622.11.pdf" Type="http://schemas.openxmlformats.org/officeDocument/2006/relationships/hyperlink" Id="rId28"/>
    <Relationship TargetMode="External" Target="https://www.legis.iowa.gov/docs/ico/chapter/692.2.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36.9.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692.2.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80A.17.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692.2.pdf" Type="http://schemas.openxmlformats.org/officeDocument/2006/relationships/hyperlink" Id="rId37"/>
    <Relationship TargetMode="External" Target="https://www.legis.iowa.gov/docs/ico/chapter/692.3.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598.pdf" Type="http://schemas.openxmlformats.org/officeDocument/2006/relationships/hyperlink" Id="rId40"/>
    <Relationship TargetMode="External" Target="https://www.legis.iowa.gov/docs/ico/chapter/80F.1.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co/chapter/22.pdf" Type="http://schemas.openxmlformats.org/officeDocument/2006/relationships/hyperlink" Id="rId43"/>
    <Relationship TargetMode="External" Target="https://www.legis.iowa.gov/docs/ico/chapter/80F.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