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600</w:t>
      </w:r>
    </w:p>
    <w:p>
      <w:pPr>
        <w:spacing w:before="0" w:after="0"/>
        <w:ind w:left="120"/>
        <w:jc w:val="center"/>
      </w:pPr>
      <w:r>
        <w:rPr>
          <w:rFonts w:ascii="Times New Roman" w:hAnsi="Times New Roman"/>
          <w:b w:val="false"/>
          <w:i w:val="false"/>
          <w:color w:val="000000"/>
          <w:sz w:val="21"/>
        </w:rPr>
        <w:t>STATEWIDE INTEROPERABLE COMMUNICATIONS SYSTEM BOARD</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661—600.1</w:t>
      </w:r>
      <w:r>
        <w:rPr>
          <w:rFonts w:ascii="Times New Roman" w:hAnsi="Times New Roman"/>
          <w:b/>
          <w:i w:val="false"/>
          <w:color w:val="000000"/>
          <w:sz w:val="22"/>
        </w:rPr>
        <w:t xml:space="preserve">(80) </w:t>
      </w:r>
      <w:r>
        <w:rPr>
          <w:rFonts w:ascii="Times New Roman" w:hAnsi="Times New Roman"/>
          <w:b/>
          <w:i w:val="false"/>
          <w:color w:val="000000"/>
          <w:sz w:val="22"/>
        </w:rPr>
        <w:t xml:space="preserve">Establishment of board. </w:t>
      </w:r>
      <w:r>
        <w:rPr>
          <w:rFonts w:ascii="Times New Roman" w:hAnsi="Times New Roman"/>
          <w:b w:val="false"/>
          <w:i w:val="false"/>
          <w:color w:val="000000"/>
          <w:sz w:val="22"/>
        </w:rPr>
        <w:t xml:space="preserve">The Iowa statewide interoperable communications system board is established in Iowa Code section </w:t>
      </w:r>
      <w:hyperlink r:id="rId5">
        <w:r>
          <w:rPr>
            <w:rStyle w:val="Hyperlink"/>
            <w:rFonts w:ascii="Times New Roman" w:hAnsi="Times New Roman"/>
            <w:b w:val="false"/>
            <w:i w:val="false"/>
            <w:color w:val="000000"/>
            <w:sz w:val="22"/>
          </w:rPr>
          <w:t>80.28</w:t>
        </w:r>
      </w:hyperlink>
      <w:r>
        <w:rPr>
          <w:rFonts w:ascii="Times New Roman" w:hAnsi="Times New Roman"/>
          <w:b w:val="false"/>
          <w:i w:val="false"/>
          <w:color w:val="000000"/>
          <w:sz w:val="22"/>
        </w:rPr>
        <w:t>, under the joint purview of the department of public safety and the department of transportation. The board is charged to develop, implement, and oversee policy, operations, and fiscal components of communications interoperability efforts at the state and local levels, and to coordinate with similar efforts at the federal level, with the ultimate objective of developing and overseeing the operation of a statewide integrated public safety interoperable communications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661—600.2</w:t>
      </w:r>
      <w:r>
        <w:rPr>
          <w:rFonts w:ascii="Times New Roman" w:hAnsi="Times New Roman"/>
          <w:b/>
          <w:i w:val="false"/>
          <w:color w:val="000000"/>
          <w:sz w:val="22"/>
        </w:rPr>
        <w:t xml:space="preserve">(80)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statewide interoperable communications system board established in Iowa Code section </w:t>
      </w:r>
      <w:hyperlink r:id="rId6">
        <w:r>
          <w:rPr>
            <w:rStyle w:val="Hyperlink"/>
            <w:rFonts w:ascii="Times New Roman" w:hAnsi="Times New Roman"/>
            <w:b w:val="false"/>
            <w:i w:val="false"/>
            <w:color w:val="000000"/>
            <w:sz w:val="22"/>
          </w:rPr>
          <w:t>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“Interoperability” </w:t>
      </w:r>
      <w:r>
        <w:rPr>
          <w:rFonts w:ascii="Times New Roman" w:hAnsi="Times New Roman"/>
          <w:b w:val="false"/>
          <w:i w:val="false"/>
          <w:color w:val="000000"/>
          <w:sz w:val="22"/>
        </w:rPr>
        <w:t>means the ability of public safety and public services personnel to communicate and to share data on an immediate basis, on demand, when needed, and when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“Legal counsel to the board” </w:t>
      </w:r>
      <w:r>
        <w:rPr>
          <w:rFonts w:ascii="Times New Roman" w:hAnsi="Times New Roman"/>
          <w:b w:val="false"/>
          <w:i w:val="false"/>
          <w:color w:val="000000"/>
          <w:sz w:val="22"/>
        </w:rPr>
        <w:t>means the assistant attorney general assigned to provide legal advice and representation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“Quorum” </w:t>
      </w:r>
      <w:r>
        <w:rPr>
          <w:rFonts w:ascii="Times New Roman" w:hAnsi="Times New Roman"/>
          <w:b w:val="false"/>
          <w:i w:val="false"/>
          <w:color w:val="000000"/>
          <w:sz w:val="22"/>
        </w:rPr>
        <w:t xml:space="preserve">means two-thirds or more of the current voting members of the board, as provided in Iowa Code section </w:t>
      </w:r>
      <w:hyperlink r:id="rId7">
        <w:r>
          <w:rPr>
            <w:rStyle w:val="Hyperlink"/>
            <w:rFonts w:ascii="Times New Roman" w:hAnsi="Times New Roman"/>
            <w:b w:val="false"/>
            <w:i w:val="false"/>
            <w:color w:val="000000"/>
            <w:sz w:val="22"/>
          </w:rPr>
          <w:t>17A.2, subsection 1</w:t>
        </w:r>
      </w:hyperlink>
      <w:r>
        <w:rPr>
          <w:rFonts w:ascii="Times New Roman" w:hAnsi="Times New Roman"/>
          <w:b w:val="false"/>
          <w:i w:val="false"/>
          <w:color w:val="000000"/>
          <w:sz w:val="22"/>
        </w:rPr>
        <w:t>. “Current voting members” does not include any board positions which are vacant.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661—600.3</w:t>
      </w:r>
      <w:r>
        <w:rPr>
          <w:rFonts w:ascii="Times New Roman" w:hAnsi="Times New Roman"/>
          <w:b/>
          <w:i w:val="false"/>
          <w:color w:val="000000"/>
          <w:sz w:val="22"/>
        </w:rPr>
        <w:t xml:space="preserve">(80) </w:t>
      </w:r>
      <w:r>
        <w:rPr>
          <w:rFonts w:ascii="Times New Roman" w:hAnsi="Times New Roman"/>
          <w:b/>
          <w:i w:val="false"/>
          <w:color w:val="000000"/>
          <w:sz w:val="22"/>
        </w:rPr>
        <w:t xml:space="preserve">Statewide interoperability coordinator. </w:t>
      </w:r>
      <w:r>
        <w:rPr>
          <w:rFonts w:ascii="Times New Roman" w:hAnsi="Times New Roman"/>
          <w:b w:val="false"/>
          <w:i w:val="false"/>
          <w:color w:val="000000"/>
          <w:sz w:val="22"/>
        </w:rPr>
        <w:t>The board may select and appoint a person who is not a member of the board as the statewide interoperability coordinator (or “SWIC”) to coordinate work performed on behalf of the board and to complete tasks related to the mission of the board as assigned by the board or by the chairperson of the board with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661—600.4</w:t>
      </w:r>
      <w:r>
        <w:rPr>
          <w:rFonts w:ascii="Times New Roman" w:hAnsi="Times New Roman"/>
          <w:b/>
          <w:i w:val="false"/>
          <w:color w:val="000000"/>
          <w:sz w:val="22"/>
        </w:rPr>
        <w:t xml:space="preserve">(80) </w:t>
      </w:r>
      <w:r>
        <w:rPr>
          <w:rFonts w:ascii="Times New Roman" w:hAnsi="Times New Roman"/>
          <w:b/>
          <w:i w:val="false"/>
          <w:color w:val="000000"/>
          <w:sz w:val="22"/>
        </w:rPr>
        <w:t xml:space="preserve">Board procedures. </w:t>
      </w:r>
      <w:r>
        <w:rPr>
          <w:rFonts w:ascii="Times New Roman" w:hAnsi="Times New Roman"/>
          <w:b w:val="false"/>
          <w:i w:val="false"/>
          <w:color w:val="000000"/>
          <w:sz w:val="22"/>
        </w:rPr>
        <w:t>The board shall operate under the following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board shall include 15 voting members and 4 ex officio, nonvoting members who are members of the Iowa general assembly, as provided in Iowa Code section </w:t>
      </w:r>
      <w:hyperlink r:id="rId8">
        <w:r>
          <w:rPr>
            <w:rStyle w:val="Hyperlink"/>
            <w:rFonts w:ascii="Times New Roman" w:hAnsi="Times New Roman"/>
            <w:b w:val="false"/>
            <w:i w:val="false"/>
            <w:color w:val="000000"/>
            <w:sz w:val="22"/>
          </w:rPr>
          <w:t>80.28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600.4(2)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meet at least once a quarter at a time and place determined by the board. Additional meetings may be called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vice chairperson,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By the statewide interoperability coordinator, at the request of five or more voting members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quorum is not present at a scheduled meeting of the board, the members of the board who are present may convene, may take testimony and public comment, and may engage in discussion of board business but shall not take any action other than to adjourn.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all meetings of the board shall be given in accordance with the provisions of Iowa Code section </w:t>
      </w:r>
      <w:hyperlink r:id="rId9">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In addition, notice of any scheduled board meeting and a tentative agenda of that meeting shall be posted on the Web site of the board prior to the scheduled time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of the board are public meetings and shall be conducted in accordance with Iowa Code section </w:t>
      </w:r>
      <w:hyperlink r:id="rId10">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portion of any board meeting may be closed to the public for any of the reasons enumerated in Iowa Code section </w:t>
      </w:r>
      <w:hyperlink r:id="rId11">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and only subsequent to the procedures specified in Iowa Code section </w:t>
      </w:r>
      <w:hyperlink r:id="rId12">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to be followed by a public body in order to close a meeting to the public. If a board meeting has been closed to the public, the board shall not adjourn while in closed session, but may do so only after the meeting has been reopened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chairperson or vice chairperson may extend invitations to subject matter experts or other parties to address items on the agenda of the board at meetings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Members of the public shall be afforded an opportunity to address the board at each regular meeting during a period labeled “public comment period” on the agenda, subject to reasonable time limits established by the person presiding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Remote telephonic access to a meeting of the board may be provided at the request of a board member or a member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Meetings of the board shall be conducted in accordance with Roberts Rules of Order, 10th edition.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600.4(3)</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r>
        <w:rPr>
          <w:rFonts w:ascii="Times New Roman" w:hAnsi="Times New Roman"/>
          <w:b w:val="false"/>
          <w:i w:val="false"/>
          <w:color w:val="000000"/>
          <w:sz w:val="22"/>
        </w:rPr>
        <w:t>Officers of the board shall be a chairperson and a vice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Election of the chairperson and the vice chairperson shall take place at a regular meeting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chairperson and the vice chairperson shall each be elected for a two-year term, commencing at the conclusion of the meeting at which the election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and the vice chairperson shall each be a voting member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chairperson or the vice chairperson ceases to be a voting member of the board, or if the chairperson or the vice chairperson resigns from the position, the position shall become vacant. If the position of the chairperson becomes vacant, the vice chairperson shall become chairperson and shall serve the remainder of the two-year term to which the chairperson had been elected, and the position of vice chairperson shall become vacant. If the position of vice chairperson has become vacant, an election to fill the remainder of the two-year term shall be conducted at the next regular meeting of the board following the occurrence of the vacancy.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Election to the position of chairperson or vice chairperson shall require a majority of the voting members of the board who are present and voting at a meeting at which a quorum of the board is in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board fails to elect a chairperson or a vice chairperson at the board meeting when a term of office ends, the incumbent chairperson or vice chairperson shall continue to serve until a successor is elected.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661—600.5</w:t>
      </w:r>
      <w:r>
        <w:rPr>
          <w:rFonts w:ascii="Times New Roman" w:hAnsi="Times New Roman"/>
          <w:b/>
          <w:i w:val="false"/>
          <w:color w:val="000000"/>
          <w:sz w:val="22"/>
        </w:rPr>
        <w:t xml:space="preserve">(80) </w:t>
      </w:r>
      <w:r>
        <w:rPr>
          <w:rFonts w:ascii="Times New Roman" w:hAnsi="Times New Roman"/>
          <w:b/>
          <w:i w:val="false"/>
          <w:color w:val="000000"/>
          <w:sz w:val="22"/>
        </w:rPr>
        <w:t xml:space="preserve">Administrative procedures. </w:t>
      </w:r>
      <w:r>
        <w:rPr>
          <w:rFonts w:ascii="Times New Roman" w:hAnsi="Times New Roman"/>
          <w:b w:val="false"/>
          <w:i w:val="false"/>
          <w:color w:val="000000"/>
          <w:sz w:val="22"/>
        </w:rPr>
        <w:t xml:space="preserve">661 Iowa Administrative Code Chapter </w:t>
      </w:r>
      <w:hyperlink r:id="rId13">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is hereby adopted by reference, with the following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600.5(1)</w:t>
      </w:r>
      <w:r>
        <w:rPr>
          <w:rFonts w:ascii="Times New Roman" w:hAnsi="Times New Roman"/>
          <w:b w:val="false"/>
          <w:i w:val="false"/>
          <w:color w:val="000000"/>
          <w:sz w:val="22"/>
        </w:rPr>
        <w:t> </w:t>
      </w:r>
      <w:r>
        <w:rPr>
          <w:rFonts w:ascii="Times New Roman" w:hAnsi="Times New Roman"/>
          <w:b w:val="false"/>
          <w:i w:val="false"/>
          <w:color w:val="000000"/>
          <w:sz w:val="22"/>
        </w:rPr>
        <w:t>Wherever the term “department,” “department of public safety,” “commissioner,” or “commissioner of public safety” appears, substitute the term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661—600.6</w:t>
      </w:r>
      <w:r>
        <w:rPr>
          <w:rFonts w:ascii="Times New Roman" w:hAnsi="Times New Roman"/>
          <w:b/>
          <w:i w:val="false"/>
          <w:color w:val="000000"/>
          <w:sz w:val="22"/>
        </w:rPr>
        <w:t xml:space="preserve">(80) </w:t>
      </w:r>
      <w:r>
        <w:rPr>
          <w:rFonts w:ascii="Times New Roman" w:hAnsi="Times New Roman"/>
          <w:b/>
          <w:i w:val="false"/>
          <w:color w:val="000000"/>
          <w:sz w:val="22"/>
        </w:rPr>
        <w:t xml:space="preserve">Committees.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600.6(1)</w:t>
      </w:r>
      <w:r>
        <w:rPr>
          <w:rFonts w:ascii="Times New Roman" w:hAnsi="Times New Roman"/>
          <w:b w:val="false"/>
          <w:i w:val="false"/>
          <w:color w:val="000000"/>
          <w:sz w:val="22"/>
        </w:rPr>
        <w:t> </w:t>
      </w:r>
      <w:r>
        <w:rPr>
          <w:rFonts w:ascii="Times New Roman" w:hAnsi="Times New Roman"/>
          <w:b w:val="false"/>
          <w:i/>
          <w:color w:val="000000"/>
          <w:sz w:val="22"/>
        </w:rPr>
        <w:t xml:space="preserve">Standing committees. </w:t>
      </w:r>
      <w:r>
        <w:rPr>
          <w:rFonts w:ascii="Times New Roman" w:hAnsi="Times New Roman"/>
          <w:b w:val="false"/>
          <w:i w:val="false"/>
          <w:color w:val="000000"/>
          <w:sz w:val="22"/>
        </w:rPr>
        <w:t>A standing committee may be created or disbanded by majority vote of the voting members of the board present at any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of each standing committee shall be a voting member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Persons who are not voting members of the board may serve on a standing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chairperson of the board, with approval of the board, shall appoint members of the standing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600.6(2)</w:t>
      </w:r>
      <w:r>
        <w:rPr>
          <w:rFonts w:ascii="Times New Roman" w:hAnsi="Times New Roman"/>
          <w:b w:val="false"/>
          <w:i w:val="false"/>
          <w:color w:val="000000"/>
          <w:sz w:val="22"/>
        </w:rPr>
        <w:t> </w:t>
      </w:r>
      <w:r>
        <w:rPr>
          <w:rFonts w:ascii="Times New Roman" w:hAnsi="Times New Roman"/>
          <w:b w:val="false"/>
          <w:i/>
          <w:color w:val="000000"/>
          <w:sz w:val="22"/>
        </w:rPr>
        <w:t xml:space="preserve">Ad hoc committees. </w:t>
      </w:r>
      <w:r>
        <w:rPr>
          <w:rFonts w:ascii="Times New Roman" w:hAnsi="Times New Roman"/>
          <w:b w:val="false"/>
          <w:i w:val="false"/>
          <w:color w:val="000000"/>
          <w:sz w:val="22"/>
        </w:rPr>
        <w:t>The chairperson may establish ad hoc committees for specific purposes and terms and may appoint persons to those committees in an advisory capacity based upon their expertise in the subject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661—600.7</w:t>
      </w:r>
      <w:r>
        <w:rPr>
          <w:rFonts w:ascii="Times New Roman" w:hAnsi="Times New Roman"/>
          <w:b/>
          <w:i w:val="false"/>
          <w:color w:val="000000"/>
          <w:sz w:val="22"/>
        </w:rPr>
        <w:t xml:space="preserve">(80) </w:t>
      </w:r>
      <w:r>
        <w:rPr>
          <w:rFonts w:ascii="Times New Roman" w:hAnsi="Times New Roman"/>
          <w:b/>
          <w:i w:val="false"/>
          <w:color w:val="000000"/>
          <w:sz w:val="22"/>
        </w:rPr>
        <w:t xml:space="preserve">Board finances. </w:t>
      </w:r>
      <w:r>
        <w:rPr>
          <w:rFonts w:ascii="Times New Roman" w:hAnsi="Times New Roman"/>
          <w:b w:val="false"/>
          <w:i w:val="false"/>
          <w:color w:val="000000"/>
          <w:sz w:val="22"/>
        </w:rPr>
        <w:t>Operational expenses of the board and of the statewide interoperability coordinator shall be paid from funds available to the department of public safety or the department of transportation, pursuant to an agreement between those agencies, except that expenses related to participation on the board by employees of state agencies shall be borne by their respective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661—600.8</w:t>
      </w:r>
      <w:r>
        <w:rPr>
          <w:rFonts w:ascii="Times New Roman" w:hAnsi="Times New Roman"/>
          <w:b/>
          <w:i w:val="false"/>
          <w:color w:val="000000"/>
          <w:sz w:val="22"/>
        </w:rPr>
        <w:t xml:space="preserve">(80) </w:t>
      </w:r>
      <w:r>
        <w:rPr>
          <w:rFonts w:ascii="Times New Roman" w:hAnsi="Times New Roman"/>
          <w:b/>
          <w:i w:val="false"/>
          <w:color w:val="000000"/>
          <w:sz w:val="22"/>
        </w:rPr>
        <w:t xml:space="preserve">Contracts. </w:t>
      </w:r>
      <w:r>
        <w:rPr>
          <w:rFonts w:ascii="Times New Roman" w:hAnsi="Times New Roman"/>
          <w:b w:val="false"/>
          <w:i w:val="false"/>
          <w:color w:val="000000"/>
          <w:sz w:val="22"/>
        </w:rPr>
        <w:t>The board may enter into contracts with other entities to carry out tasks in pursuit of the board’s purpose. Any such contract shall be entered into subject to approval of the legal counsel to the board and shall comply with the rules of the department of administrative services and any other applicable state laws regarding purchases by state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661—600.9</w:t>
      </w:r>
      <w:r>
        <w:rPr>
          <w:rFonts w:ascii="Times New Roman" w:hAnsi="Times New Roman"/>
          <w:b/>
          <w:i w:val="false"/>
          <w:color w:val="000000"/>
          <w:sz w:val="22"/>
        </w:rPr>
        <w:t xml:space="preserve">(80) </w:t>
      </w:r>
      <w:r>
        <w:rPr>
          <w:rFonts w:ascii="Times New Roman" w:hAnsi="Times New Roman"/>
          <w:b/>
          <w:i w:val="false"/>
          <w:color w:val="000000"/>
          <w:sz w:val="22"/>
        </w:rPr>
        <w:t xml:space="preserve">Competitive grants. </w:t>
      </w:r>
      <w:r>
        <w:rPr>
          <w:rFonts w:ascii="Times New Roman" w:hAnsi="Times New Roman"/>
          <w:b w:val="false"/>
          <w:i w:val="false"/>
          <w:color w:val="000000"/>
          <w:sz w:val="22"/>
        </w:rPr>
        <w:t>If funds are available to the board to award grants on a competitive basis for projects to further the purposes of the board, the chairperson shall appoint an advisory committee to review grant applications. The chairperson of the advisory committee shall be a voting member of the board, although other members may be members of the board or other persons with expertise helpful in evaluating grant applications. The statewide interoperability coordinator shall, prior to the solicitation of applications for the grant funds and with the approval of the board, develop a grant application form and an evaluation methodology which shall be understandable and made available to any prospective applicant. The availability of grant funds shall be made known as widely as practicable prior to the deadline for accepting applications.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661—600.10</w:t>
      </w:r>
      <w:r>
        <w:rPr>
          <w:rFonts w:ascii="Times New Roman" w:hAnsi="Times New Roman"/>
          <w:b/>
          <w:i w:val="false"/>
          <w:color w:val="000000"/>
          <w:sz w:val="22"/>
        </w:rPr>
        <w:t xml:space="preserve">(80)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Additional descriptive and explanatory information about the board and its procedures and about interoperability issues may be found on the Web site of the board.</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board Web site may be found at </w:t>
      </w:r>
      <w:hyperlink r:id="rId14">
        <w:r>
          <w:rPr>
            <w:rStyle w:val="Hyperlink"/>
            <w:rFonts w:ascii="Times New Roman" w:hAnsi="Times New Roman"/>
            <w:b w:val="false"/>
            <w:i w:val="false"/>
            <w:color w:val="000000"/>
            <w:sz w:val="22"/>
            <w:u w:val="single"/>
          </w:rPr>
          <w:t>http://isicsb.iowa.gov/index.html</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9678B</w:t>
      </w:r>
      <w:r>
        <w:rPr>
          <w:rFonts w:ascii="Times New Roman" w:hAnsi="Times New Roman"/>
          <w:b w:val="false"/>
          <w:i w:val="false"/>
          <w:color w:val="000000"/>
          <w:sz w:val="16"/>
        </w:rPr>
        <w:t>, IAB 8/24/11, effective 10/1/11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80.29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9678B</w:t>
      </w:r>
      <w:r>
        <w:rPr>
          <w:rFonts w:ascii="Times New Roman" w:hAnsi="Times New Roman"/>
          <w:b w:val="false"/>
          <w:i w:val="false"/>
          <w:color w:val="000000"/>
          <w:sz w:val="21"/>
        </w:rPr>
        <w:t xml:space="preserve"> (Notice ARC 9516B, IAB 5/18/11)</w:t>
      </w:r>
      <w:r>
        <w:rPr>
          <w:rFonts w:ascii="Times New Roman" w:hAnsi="Times New Roman"/>
          <w:b w:val="false"/>
          <w:i w:val="false"/>
          <w:color w:val="000000"/>
          <w:sz w:val="21"/>
        </w:rPr>
        <w:t>, IAB 8/24/11, effective 10/1/11]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0.28.pdf" Type="http://schemas.openxmlformats.org/officeDocument/2006/relationships/hyperlink" Id="rId5"/>
    <Relationship TargetMode="External" Target="https://www.legis.iowa.gov/docs/ico/chapter/80.28.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co/chapter/80.28.pdf" Type="http://schemas.openxmlformats.org/officeDocument/2006/relationships/hyperlink" Id="rId8"/>
    <Relationship TargetMode="External" Target="https://www.legis.iowa.gov/docs/ico/chapter/21.4.pdf" Type="http://schemas.openxmlformats.org/officeDocument/2006/relationships/hyperlink" Id="rId9"/>
    <Relationship TargetMode="External" Target="https://www.legis.iowa.gov/docs/ico/chapter/21.3.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ac/chapter/661.10.pdf" Type="http://schemas.openxmlformats.org/officeDocument/2006/relationships/hyperlink" Id="rId13"/>
    <Relationship TargetMode="External" Target="http://isicsb.iowa.gov/index.html" Type="http://schemas.openxmlformats.org/officeDocument/2006/relationships/hyperlink" Id="rId14"/>
    <Relationship TargetMode="External" Target="https://www.legis.iowa.gov/docs/ico/chapter/80.29.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