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VEHICLE IMPOUNDMENT</w:t>
      </w:r>
    </w:p>
    <w:p>
      <w:pPr>
        <w:spacing w:before="0" w:after="0"/>
        <w:ind w:left="120"/>
        <w:jc w:val="center"/>
      </w:pPr>
      <w:r>
        <w:rPr>
          <w:rFonts w:ascii="Times New Roman" w:hAnsi="Times New Roman"/>
          <w:b w:val="false"/>
          <w:i w:val="false"/>
          <w:color w:val="000000"/>
          <w:sz w:val="14"/>
        </w:rPr>
        <w:t>[Ch 6 as appeared before 6/27/79 rescinded]</w:t>
      </w:r>
    </w:p>
    <w:p>
      <w:pPr>
        <w:spacing w:before="0" w:after="0"/>
        <w:ind w:left="120"/>
        <w:jc w:val="center"/>
      </w:pPr>
      <w:r>
        <w:rPr>
          <w:rFonts w:ascii="Times New Roman" w:hAnsi="Times New Roman"/>
          <w:b w:val="false"/>
          <w:i w:val="false"/>
          <w:color w:val="000000"/>
          <w:sz w:val="14"/>
        </w:rPr>
        <w:t>[Prior to 4/20/88, see Public Safety Department[680]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661—6.1</w:t>
      </w:r>
      <w:r>
        <w:rPr>
          <w:rFonts w:ascii="Times New Roman" w:hAnsi="Times New Roman"/>
          <w:b/>
          <w:i w:val="false"/>
          <w:color w:val="000000"/>
          <w:sz w:val="22"/>
        </w:rPr>
        <w:t xml:space="preserve">(17A,321) </w:t>
      </w:r>
      <w:r>
        <w:rPr>
          <w:rFonts w:ascii="Times New Roman" w:hAnsi="Times New Roman"/>
          <w:b/>
          <w:i w:val="false"/>
          <w:color w:val="000000"/>
          <w:sz w:val="22"/>
        </w:rPr>
        <w:t xml:space="preserve">Vehicle impoundment. </w:t>
      </w:r>
      <w:r>
        <w:rPr>
          <w:rFonts w:ascii="Times New Roman" w:hAnsi="Times New Roman"/>
          <w:b w:val="false"/>
          <w:i w:val="false"/>
          <w:color w:val="000000"/>
          <w:sz w:val="22"/>
        </w:rPr>
        <w:t xml:space="preserve">The patrol division and other peace officer members of the department may impound any vehicle determined to be “abandoned” as defined in Iowa Code section </w:t>
      </w:r>
      <w:hyperlink r:id="rId5">
        <w:r>
          <w:rPr>
            <w:rStyle w:val="Hyperlink"/>
            <w:rFonts w:ascii="Times New Roman" w:hAnsi="Times New Roman"/>
            <w:b w:val="false"/>
            <w:i w:val="false"/>
            <w:color w:val="000000"/>
            <w:sz w:val="22"/>
          </w:rPr>
          <w:t>321.89(1)</w:t>
        </w:r>
      </w:hyperlink>
      <w:r>
        <w:rPr>
          <w:rFonts w:ascii="Times New Roman" w:hAnsi="Times New Roman"/>
          <w:b w:val="false"/>
          <w:i/>
          <w:color w:val="000000"/>
          <w:sz w:val="22"/>
        </w:rPr>
        <w:t>“a,”</w:t>
      </w:r>
      <w:r>
        <w:rPr>
          <w:rFonts w:ascii="Times New Roman" w:hAnsi="Times New Roman"/>
          <w:b w:val="false"/>
          <w:i w:val="false"/>
          <w:color w:val="000000"/>
          <w:sz w:val="22"/>
        </w:rPr>
        <w:t xml:space="preserve">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officer shall first attempt to determine the owner through department of transportation records and request that the communications division advise an owner found thereby that the vehicle must be moved within a reasonable time or it will be impounded,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Either the owner cannot be found or the owner fails to remove the vehicle within a reasonable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4800C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661—6.2</w:t>
      </w:r>
      <w:r>
        <w:rPr>
          <w:rFonts w:ascii="Times New Roman" w:hAnsi="Times New Roman"/>
          <w:b/>
          <w:i w:val="false"/>
          <w:color w:val="000000"/>
          <w:sz w:val="22"/>
        </w:rPr>
        <w:t xml:space="preserve">(17A,321) </w:t>
      </w:r>
      <w:r>
        <w:rPr>
          <w:rFonts w:ascii="Times New Roman" w:hAnsi="Times New Roman"/>
          <w:b/>
          <w:i w:val="false"/>
          <w:color w:val="000000"/>
          <w:sz w:val="22"/>
        </w:rPr>
        <w:t xml:space="preserve">Vehicles which may be impounded immediately.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val="false"/>
          <w:color w:val="000000"/>
          <w:sz w:val="22"/>
        </w:rPr>
        <w:t>Vehicles which an officer has reason to believe are wrongfully possessed by the person then having control of such vehicles or on which the vehicle identification number or the identification numbers of any component part have been altered or defaced, or on which an attempt to alter or deface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val="false"/>
          <w:color w:val="000000"/>
          <w:sz w:val="22"/>
        </w:rPr>
        <w:t>Vehicles which are involved in an accident when immediate impoundment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preserve evidence which will be used in an administrative or judicial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protect the vehicle from theft or further damage when the driver or owner is unavailable or incapable to give consent to such impoundment or make other arrangements for the vehicle;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prevent further accidents when the vehicle is so situated as to appear to constitute a hazard to traffic.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w:t>
      </w:r>
      <w:r>
        <w:rPr>
          <w:rFonts w:ascii="Times New Roman" w:hAnsi="Times New Roman"/>
          <w:b w:val="false"/>
          <w:i w:val="false"/>
          <w:color w:val="000000"/>
          <w:sz w:val="22"/>
        </w:rPr>
        <w:t> </w:t>
      </w:r>
      <w:r>
        <w:rPr>
          <w:rFonts w:ascii="Times New Roman" w:hAnsi="Times New Roman"/>
          <w:b w:val="false"/>
          <w:i w:val="false"/>
          <w:color w:val="000000"/>
          <w:sz w:val="22"/>
        </w:rPr>
        <w:t>Vehicles which an officer has probable cause that the vehicle is being used to transport contraband.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w:t>
      </w:r>
      <w:r>
        <w:rPr>
          <w:rFonts w:ascii="Times New Roman" w:hAnsi="Times New Roman"/>
          <w:b w:val="false"/>
          <w:i w:val="false"/>
          <w:color w:val="000000"/>
          <w:sz w:val="22"/>
        </w:rPr>
        <w:t> </w:t>
      </w:r>
      <w:r>
        <w:rPr>
          <w:rFonts w:ascii="Times New Roman" w:hAnsi="Times New Roman"/>
          <w:b w:val="false"/>
          <w:i w:val="false"/>
          <w:color w:val="000000"/>
          <w:sz w:val="22"/>
        </w:rPr>
        <w:t>Vehicles involved in a person’s death when the medical examiner or a peace officer determines: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seizure is necessary to secure evidence needed in the investigation, including but not limited to an investigation of the cause and manner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circumstances indicate the vehicle may be removed or tampered with before written authorization for its impoundment can be obtained, or that written authorization for impoundment has been refused or is impracticable.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vehicle is situated on a public highway in such a manner that it may constitute a hazard to traffic.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w:t>
      </w:r>
      <w:r>
        <w:rPr>
          <w:rFonts w:ascii="Times New Roman" w:hAnsi="Times New Roman"/>
          <w:b w:val="false"/>
          <w:i w:val="false"/>
          <w:color w:val="000000"/>
          <w:sz w:val="22"/>
        </w:rPr>
        <w:t> </w:t>
      </w:r>
      <w:r>
        <w:rPr>
          <w:rFonts w:ascii="Times New Roman" w:hAnsi="Times New Roman"/>
          <w:b w:val="false"/>
          <w:i w:val="false"/>
          <w:color w:val="000000"/>
          <w:sz w:val="22"/>
        </w:rPr>
        <w:t>Vehicles under the control of a person at the time of arrest: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arrested person’s vehicle reasonably appears to a peace officer to constitute a traffic hazard if it remains where it is situated at the time of arrest and the arrested person is unwilling or unable to have it moved;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vehicle is not capable of legal operation or the vehicle is not legally parked under state or local code or ordinance;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preserve evidence which will be used in an administrative or judicial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protect the vehicle from theft or further damage when the driver or owner is unavailable or incapable to give consent to such impoundment or make other arrangements for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w:t>
      </w:r>
      <w:r>
        <w:rPr>
          <w:rFonts w:ascii="Times New Roman" w:hAnsi="Times New Roman"/>
          <w:b w:val="false"/>
          <w:i w:val="false"/>
          <w:color w:val="000000"/>
          <w:sz w:val="22"/>
        </w:rPr>
        <w:t> </w:t>
      </w:r>
      <w:r>
        <w:rPr>
          <w:rFonts w:ascii="Times New Roman" w:hAnsi="Times New Roman"/>
          <w:b w:val="false"/>
          <w:i w:val="false"/>
          <w:color w:val="000000"/>
          <w:sz w:val="22"/>
        </w:rPr>
        <w:t>Vehicles positioned upon a public highway in such a manner that may constitute a hazard to traffic.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4800C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661—6.3</w:t>
      </w:r>
      <w:r>
        <w:rPr>
          <w:rFonts w:ascii="Times New Roman" w:hAnsi="Times New Roman"/>
          <w:b/>
          <w:i w:val="false"/>
          <w:color w:val="000000"/>
          <w:sz w:val="22"/>
        </w:rPr>
        <w:t xml:space="preserve">(17A,321) </w:t>
      </w:r>
      <w:r>
        <w:rPr>
          <w:rFonts w:ascii="Times New Roman" w:hAnsi="Times New Roman"/>
          <w:b/>
          <w:i w:val="false"/>
          <w:color w:val="000000"/>
          <w:sz w:val="22"/>
        </w:rPr>
        <w:t xml:space="preserve">Vehicles which need not be impounded immediately. </w:t>
      </w:r>
      <w:r>
        <w:rPr>
          <w:rFonts w:ascii="Times New Roman" w:hAnsi="Times New Roman"/>
          <w:b w:val="false"/>
          <w:i w:val="false"/>
          <w:color w:val="000000"/>
          <w:sz w:val="22"/>
        </w:rPr>
        <w:t xml:space="preserve">If a vehicle is unattended, an officer shall tag it. A record is kept by the officer at the district to which the officer is assigned. After the period of time prescribed in Iowa Code section </w:t>
      </w:r>
      <w:hyperlink r:id="rId6">
        <w:r>
          <w:rPr>
            <w:rStyle w:val="Hyperlink"/>
            <w:rFonts w:ascii="Times New Roman" w:hAnsi="Times New Roman"/>
            <w:b w:val="false"/>
            <w:i w:val="false"/>
            <w:color w:val="000000"/>
            <w:sz w:val="22"/>
          </w:rPr>
          <w:t>321.89</w:t>
        </w:r>
      </w:hyperlink>
      <w:r>
        <w:rPr>
          <w:rFonts w:ascii="Times New Roman" w:hAnsi="Times New Roman"/>
          <w:b w:val="false"/>
          <w:i w:val="false"/>
          <w:color w:val="000000"/>
          <w:sz w:val="22"/>
        </w:rPr>
        <w:t>, the unattended vehicle shall be declared an abandoned vehicle.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4800C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661—6.4</w:t>
      </w:r>
      <w:r>
        <w:rPr>
          <w:rFonts w:ascii="Times New Roman" w:hAnsi="Times New Roman"/>
          <w:b/>
          <w:i w:val="false"/>
          <w:color w:val="000000"/>
          <w:sz w:val="22"/>
        </w:rPr>
        <w:t xml:space="preserve">(17A,321) </w:t>
      </w:r>
      <w:r>
        <w:rPr>
          <w:rFonts w:ascii="Times New Roman" w:hAnsi="Times New Roman"/>
          <w:b/>
          <w:i w:val="false"/>
          <w:color w:val="000000"/>
          <w:sz w:val="22"/>
        </w:rPr>
        <w:t xml:space="preserve">Impoundment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val="false"/>
          <w:color w:val="000000"/>
          <w:sz w:val="22"/>
        </w:rPr>
        <w:t>Prior to towing an impounded vehicle, the officer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that a tow truck be dispatched to remove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 vehicle tow-in and recovery report which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Reason for towing;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 number and description of the vehicle including its condition at the time of impoundment;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Vehicle identification number and registration information, when readily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Instruct the towing service to tow the vehicle to a designated location, which in the case of an abandoned vehicle shall be the towing service’s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val="false"/>
          <w:color w:val="000000"/>
          <w:sz w:val="22"/>
        </w:rPr>
        <w:t>Within 24 hours of towing an impounded vehicle, the officer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an inventory of all property in the vehicle and a notation of any parts of the vehicle which appear to be missing or damaged. The inventory is a record which is intended for use in ensuring the safe return of the lawful possessor’s property and resolving questions regarding the condition or contents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 to the vehicle tow-in and recovery report information indicating the circumstances of recovery of the vehicle and notification of the owner if the vehicle is believed to be stolen or operated without the consent of the owner.</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The inventory and completion of the report may be delayed beyond 24 hours after towing of the impounded vehicle has occurred if completion within a 24-hour period is rendered impracticable by road or weather conditions or by the volume of impounded vehicles requiring processing during a limited period of time. Such an extension of time shall be granted automatically if the office processing the vehicles is affected by a disaster emergency proclamation issued by the governor pursuant to Iowa Code section </w:t>
      </w:r>
      <w:hyperlink r:id="rId7">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may otherwise be granted by written permission of the commander of the district or zone office or another supervisor designated by the commander of the officer responsible for processing an impounded vehicle. The reason for any delay in completing the inventory and report beyond 24 hours after towing a vehicle shall be noted in the report. In any event, the inventory and report shall be completed as soon as practicable after towing the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80.9(2)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321.89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4800C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661—6.5</w:t>
      </w:r>
      <w:r>
        <w:rPr>
          <w:rFonts w:ascii="Times New Roman" w:hAnsi="Times New Roman"/>
          <w:b/>
          <w:i w:val="false"/>
          <w:color w:val="000000"/>
          <w:sz w:val="22"/>
        </w:rPr>
        <w:t xml:space="preserve">(17A,321) </w:t>
      </w:r>
      <w:r>
        <w:rPr>
          <w:rFonts w:ascii="Times New Roman" w:hAnsi="Times New Roman"/>
          <w:b/>
          <w:i w:val="false"/>
          <w:color w:val="000000"/>
          <w:sz w:val="22"/>
        </w:rPr>
        <w:t xml:space="preserve">Abandoned vehicles. </w:t>
      </w:r>
      <w:r>
        <w:rPr>
          <w:rFonts w:ascii="Times New Roman" w:hAnsi="Times New Roman"/>
          <w:b w:val="false"/>
          <w:i w:val="false"/>
          <w:color w:val="000000"/>
          <w:sz w:val="22"/>
        </w:rPr>
        <w:t xml:space="preserve">If the vehicle is impounded pursuant to </w:t>
      </w:r>
      <w:hyperlink r:id="rId10">
        <w:r>
          <w:rPr>
            <w:rStyle w:val="Hyperlink"/>
            <w:rFonts w:ascii="Times New Roman" w:hAnsi="Times New Roman"/>
            <w:b w:val="false"/>
            <w:i w:val="false"/>
            <w:color w:val="000000"/>
            <w:sz w:val="22"/>
          </w:rPr>
          <w:t>rule 661—6.1(17A,321)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val="false"/>
          <w:color w:val="000000"/>
          <w:sz w:val="22"/>
        </w:rPr>
        <w:t>The district officer in charge of abandoned vehicles shall notify, within 20 days of impoundment, by certified mail, the last known registered owner of the vehicle and all lienholders of record, addressed to their last known address of record, that the abandoned vehicle has been impounded. Such notice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person or persons notified have the right to reclaim the vehicle within 21 days of notice upon payment of all towing, preservation and storage charges resulting from impoundment.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failure to reclaim the vehicle within 21 days will constitute a waiver of all right, title, claim and interest in the vehicle and will also constitute the giving of consent to sale or disposal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 written objection to the impoundment may be filed in accordance with </w:t>
      </w:r>
      <w:hyperlink r:id="rId11">
        <w:r>
          <w:rPr>
            <w:rStyle w:val="Hyperlink"/>
            <w:rFonts w:ascii="Times New Roman" w:hAnsi="Times New Roman"/>
            <w:b w:val="false"/>
            <w:i w:val="false"/>
            <w:color w:val="000000"/>
            <w:sz w:val="22"/>
          </w:rPr>
          <w:t>subrule 6.5(3)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district officer in charge of abandoned vehicles is unable to determine the identity or address of the last known registered owner or of any lienholders of record, the officer shall cause to be published once in a newspaper of general circulation in the area where the abandoned vehicle was found, a notice containing all the information otherwise required by </w:t>
      </w:r>
      <w:hyperlink r:id="rId12">
        <w:r>
          <w:rPr>
            <w:rStyle w:val="Hyperlink"/>
            <w:rFonts w:ascii="Times New Roman" w:hAnsi="Times New Roman"/>
            <w:b w:val="false"/>
            <w:i w:val="false"/>
            <w:color w:val="000000"/>
            <w:sz w:val="22"/>
          </w:rPr>
          <w:t>subrule 6.5(1)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val="false"/>
          <w:color w:val="000000"/>
          <w:sz w:val="22"/>
        </w:rPr>
        <w:t>Registered owners or lienholders of record may, within the 21-day reclamation period, submit a written objection to the initial impoundment or to any procedure followed by the patrol officer or towing agent. Such objection shall contain an explanation of why the objector believes the impoundment was not authorized by law. When an objection is received by the district officer in charge of abandoned vehicles, such officer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Immediately consider the objection and make an initial decision as to the legality of the impoundment,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Immediately thereafter notify the objector of the decision. Such notice shall state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impoundment was authorized by law, and explain the basis of such decision,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impoundment was not authorized by law, that the vehicle will be released to the objector upon presentation of proof of ownership at district headquarters, and that no towing or storage fees will be assessed for 21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copy of the notice required by </w:t>
      </w:r>
      <w:hyperlink r:id="rId13">
        <w:r>
          <w:rPr>
            <w:rStyle w:val="Hyperlink"/>
            <w:rFonts w:ascii="Times New Roman" w:hAnsi="Times New Roman"/>
            <w:b w:val="false"/>
            <w:i w:val="false"/>
            <w:color w:val="000000"/>
            <w:sz w:val="22"/>
          </w:rPr>
          <w:t>subrule 6.5(3)</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r>
        <w:rPr>
          <w:rFonts w:ascii="Times New Roman" w:hAnsi="Times New Roman"/>
          <w:b w:val="false"/>
          <w:i w:val="false"/>
          <w:color w:val="000000"/>
          <w:sz w:val="22"/>
        </w:rPr>
        <w:t xml:space="preserve"> with other documents kept in connection with the impoundment.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registered owner and any lienholders of record have 21 days in which to reclaim the vehicle after mailing or date of publication of notice as prescribed in </w:t>
      </w:r>
      <w:hyperlink r:id="rId14">
        <w:r>
          <w:rPr>
            <w:rStyle w:val="Hyperlink"/>
            <w:rFonts w:ascii="Times New Roman" w:hAnsi="Times New Roman"/>
            <w:b w:val="false"/>
            <w:i w:val="false"/>
            <w:color w:val="000000"/>
            <w:sz w:val="22"/>
          </w:rPr>
          <w:t>subrules 6.5(1)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6.5(2)</w:t>
        </w:r>
      </w:hyperlink>
      <w:r>
        <w:rPr>
          <w:rFonts w:ascii="Times New Roman" w:hAnsi="Times New Roman"/>
          <w:b w:val="false"/>
          <w:i w:val="false"/>
          <w:color w:val="000000"/>
          <w:sz w:val="22"/>
        </w:rPr>
        <w:t xml:space="preserve">, except where written objection to impoundment has been made in accordance with </w:t>
      </w:r>
      <w:hyperlink r:id="rId16">
        <w:r>
          <w:rPr>
            <w:rStyle w:val="Hyperlink"/>
            <w:rFonts w:ascii="Times New Roman" w:hAnsi="Times New Roman"/>
            <w:b w:val="false"/>
            <w:i w:val="false"/>
            <w:color w:val="000000"/>
            <w:sz w:val="22"/>
          </w:rPr>
          <w:t>subrule 6.5(3)</w:t>
        </w:r>
      </w:hyperlink>
      <w:r>
        <w:rPr>
          <w:rFonts w:ascii="Times New Roman" w:hAnsi="Times New Roman"/>
          <w:b w:val="false"/>
          <w:i w:val="false"/>
          <w:color w:val="000000"/>
          <w:sz w:val="22"/>
        </w:rPr>
        <w:t>, in which case the 21-day period shall begin when notice of the district officer’s response to the objection is mailed. An additional 14 days will be allowed if the owner or any lienholder submits a written request for an extension of the 21-day reclamation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w:t>
      </w:r>
      <w:r>
        <w:rPr>
          <w:rFonts w:ascii="Times New Roman" w:hAnsi="Times New Roman"/>
          <w:b w:val="false"/>
          <w:i w:val="false"/>
          <w:color w:val="000000"/>
          <w:sz w:val="22"/>
        </w:rPr>
        <w:t> </w:t>
      </w:r>
      <w:r>
        <w:rPr>
          <w:rFonts w:ascii="Times New Roman" w:hAnsi="Times New Roman"/>
          <w:b w:val="false"/>
          <w:i w:val="false"/>
          <w:color w:val="000000"/>
          <w:sz w:val="22"/>
        </w:rPr>
        <w:t>If the reclamation period has expired, and either the registered owner or any lienholder of record has made no written objection to the impoundment, or an objection has been filed and the district officer has determined that the impoundment was authorized by law, then all rights of the owner or of any lienholders of record with regard to the impounded vehicle are forfeited and the vehicle will be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Sold for use upon the highway after an inspection and certification that it is safe for such use in accordance with Iowa Code section </w:t>
      </w:r>
      <w:hyperlink r:id="rId17">
        <w:r>
          <w:rPr>
            <w:rStyle w:val="Hyperlink"/>
            <w:rFonts w:ascii="Times New Roman" w:hAnsi="Times New Roman"/>
            <w:b w:val="false"/>
            <w:i w:val="false"/>
            <w:color w:val="000000"/>
            <w:sz w:val="22"/>
          </w:rPr>
          <w:t>321.238</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Sold for junk, demolished, and sold as scrap,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Sold as provided in Iowa Code section </w:t>
      </w:r>
      <w:hyperlink r:id="rId18">
        <w:r>
          <w:rPr>
            <w:rStyle w:val="Hyperlink"/>
            <w:rFonts w:ascii="Times New Roman" w:hAnsi="Times New Roman"/>
            <w:b w:val="false"/>
            <w:i w:val="false"/>
            <w:color w:val="000000"/>
            <w:sz w:val="22"/>
          </w:rPr>
          <w:t>321.88</w:t>
        </w:r>
      </w:hyperlink>
      <w:r>
        <w:rPr>
          <w:rFonts w:ascii="Times New Roman" w:hAnsi="Times New Roman"/>
          <w:b w:val="false"/>
          <w:i w:val="false"/>
          <w:color w:val="000000"/>
          <w:sz w:val="22"/>
        </w:rPr>
        <w:t xml:space="preserve"> with a restricted certificate of title and not for use on the highways.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w:t>
      </w:r>
      <w:r>
        <w:rPr>
          <w:rFonts w:ascii="Times New Roman" w:hAnsi="Times New Roman"/>
          <w:b w:val="false"/>
          <w:i w:val="false"/>
          <w:color w:val="000000"/>
          <w:sz w:val="22"/>
        </w:rPr>
        <w:t> </w:t>
      </w:r>
      <w:r>
        <w:rPr>
          <w:rFonts w:ascii="Times New Roman" w:hAnsi="Times New Roman"/>
          <w:b w:val="false"/>
          <w:i w:val="false"/>
          <w:color w:val="000000"/>
          <w:sz w:val="22"/>
        </w:rPr>
        <w:t>When the vehicle is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circumstances of the sale shall be entered in appropriate records kept by the district officer in charge of abandoned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required department of transportation forms shall be completed by the officer, given to the purchaser, and mailed to the abandoned vehicle section of the motor vehicle division of the department of transportation. The motor vehicle division shall then take action regarding the funds collected or expended.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registered owner or any lienholders of record have filed written objection to the impoundment in accordance with </w:t>
      </w:r>
      <w:hyperlink r:id="rId19">
        <w:r>
          <w:rPr>
            <w:rStyle w:val="Hyperlink"/>
            <w:rFonts w:ascii="Times New Roman" w:hAnsi="Times New Roman"/>
            <w:b w:val="false"/>
            <w:i w:val="false"/>
            <w:color w:val="000000"/>
            <w:sz w:val="22"/>
          </w:rPr>
          <w:t>subrule 6.5(3)</w:t>
        </w:r>
      </w:hyperlink>
      <w:r>
        <w:rPr>
          <w:rFonts w:ascii="Times New Roman" w:hAnsi="Times New Roman"/>
          <w:b w:val="false"/>
          <w:i w:val="false"/>
          <w:color w:val="000000"/>
          <w:sz w:val="22"/>
        </w:rPr>
        <w:t xml:space="preserve"> and the district officer has determined that the impoundment was not authorized by law, towing and storage fees will not be assessed unless the objector, after receipt of notice of such determination, fails to reclaim the vehicle within the reclamation period provided in </w:t>
      </w:r>
      <w:hyperlink r:id="rId20">
        <w:r>
          <w:rPr>
            <w:rStyle w:val="Hyperlink"/>
            <w:rFonts w:ascii="Times New Roman" w:hAnsi="Times New Roman"/>
            <w:b w:val="false"/>
            <w:i w:val="false"/>
            <w:color w:val="000000"/>
            <w:sz w:val="22"/>
          </w:rPr>
          <w:t>subrule 6.5(4)</w:t>
        </w:r>
      </w:hyperlink>
      <w:r>
        <w:rPr>
          <w:rFonts w:ascii="Times New Roman" w:hAnsi="Times New Roman"/>
          <w:b w:val="false"/>
          <w:i w:val="false"/>
          <w:color w:val="000000"/>
          <w:sz w:val="22"/>
        </w:rPr>
        <w:t xml:space="preserve">. If the vehicle is not reclaimed during the reclamation period, said fees shall be deemed “abandoned,” and subject to forfeiture and sale if not claimed within 60 days of receipt of notice from the district officer pursuant to </w:t>
      </w:r>
      <w:hyperlink r:id="rId21">
        <w:r>
          <w:rPr>
            <w:rStyle w:val="Hyperlink"/>
            <w:rFonts w:ascii="Times New Roman" w:hAnsi="Times New Roman"/>
            <w:b w:val="false"/>
            <w:i w:val="false"/>
            <w:color w:val="000000"/>
            <w:sz w:val="22"/>
          </w:rPr>
          <w:t>subrule 5.4(3)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661—6.6</w:t>
      </w:r>
      <w:r>
        <w:rPr>
          <w:rFonts w:ascii="Times New Roman" w:hAnsi="Times New Roman"/>
          <w:b/>
          <w:i w:val="false"/>
          <w:color w:val="000000"/>
          <w:sz w:val="22"/>
        </w:rPr>
        <w:t xml:space="preserve">(321) </w:t>
      </w:r>
      <w:r>
        <w:rPr>
          <w:rFonts w:ascii="Times New Roman" w:hAnsi="Times New Roman"/>
          <w:b/>
          <w:i w:val="false"/>
          <w:color w:val="000000"/>
          <w:sz w:val="22"/>
        </w:rPr>
        <w:t xml:space="preserve">Scope. </w:t>
      </w:r>
      <w:r>
        <w:rPr>
          <w:rFonts w:ascii="Times New Roman" w:hAnsi="Times New Roman"/>
          <w:b w:val="false"/>
          <w:i w:val="false"/>
          <w:color w:val="000000"/>
          <w:sz w:val="22"/>
        </w:rPr>
        <w:t>Nothing in this chapter shall be construed to limit an officer’s authority to seize or search an individual, vehicle, or location upon probable cause or as otherwise justified by law.</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2">
        <w:r>
          <w:rPr>
            <w:rStyle w:val="Hyperlink"/>
            <w:rFonts w:ascii="Times New Roman" w:hAnsi="Times New Roman"/>
            <w:b w:val="false"/>
            <w:i w:val="false"/>
            <w:color w:val="000000"/>
            <w:sz w:val="22"/>
          </w:rPr>
          <w:t>80.9(2)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321.89</w:t>
        </w:r>
      </w:hyperlink>
      <w:r>
        <w:rPr>
          <w:rFonts w:ascii="Times New Roman" w:hAnsi="Times New Roman"/>
          <w:b w:val="false"/>
          <w:i w:val="false"/>
          <w:color w:val="000000"/>
          <w:sz w:val="22"/>
        </w:rPr>
        <w:t xml:space="preserve"> and </w:t>
      </w:r>
      <w:r>
        <w:rPr>
          <w:rFonts w:ascii="Times New Roman" w:hAnsi="Times New Roman"/>
          <w:b w:val="false"/>
          <w:i/>
          <w:color w:val="000000"/>
          <w:sz w:val="22"/>
        </w:rPr>
        <w:t>Florida v.</w:t>
      </w:r>
      <w:r>
        <w:rPr>
          <w:rFonts w:ascii="Times New Roman" w:hAnsi="Times New Roman"/>
          <w:b w:val="false"/>
          <w:i/>
          <w:color w:val="000000"/>
          <w:sz w:val="22"/>
        </w:rPr>
        <w:t> </w:t>
      </w:r>
    </w:p>
    <w:p>
      <w:pPr>
        <w:spacing w:before="0" w:after="0"/>
        <w:ind w:left="120"/>
        <w:jc w:val="left"/>
      </w:pPr>
      <w:r>
        <w:rPr>
          <w:rFonts w:ascii="Times New Roman" w:hAnsi="Times New Roman"/>
          <w:b w:val="false"/>
          <w:i/>
          <w:color w:val="000000"/>
          <w:sz w:val="22"/>
        </w:rPr>
        <w:t xml:space="preserve">Wells, </w:t>
      </w:r>
      <w:r>
        <w:rPr>
          <w:rFonts w:ascii="Times New Roman" w:hAnsi="Times New Roman"/>
          <w:b w:val="false"/>
          <w:i w:val="false"/>
          <w:color w:val="000000"/>
          <w:sz w:val="22"/>
        </w:rPr>
        <w:t>110 Sup.</w:t>
      </w: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Ct.</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1632.</w:t>
      </w:r>
    </w:p>
    <w:p>
      <w:pPr>
        <w:spacing w:before="0" w:after="0"/>
        <w:ind w:left="120"/>
        <w:jc w:val="center"/>
      </w:pPr>
      <w:r>
        <w:rPr>
          <w:rFonts w:ascii="Times New Roman" w:hAnsi="Times New Roman"/>
          <w:b w:val="false"/>
          <w:i w:val="false"/>
          <w:color w:val="000000"/>
          <w:sz w:val="21"/>
        </w:rPr>
        <w:t>[Filed 6/7/79, Notice 5/2/79—published 6/27/79, effective 8/2/79]</w:t>
      </w:r>
    </w:p>
    <w:p>
      <w:pPr>
        <w:spacing w:before="0" w:after="0"/>
        <w:ind w:left="120"/>
        <w:jc w:val="center"/>
      </w:pPr>
      <w:r>
        <w:rPr>
          <w:rFonts w:ascii="Times New Roman" w:hAnsi="Times New Roman"/>
          <w:b w:val="false"/>
          <w:i w:val="false"/>
          <w:color w:val="000000"/>
          <w:sz w:val="21"/>
        </w:rPr>
        <w:t>[Filed 4/22/83, Notice 3/16/83—published 5/11/83, effective 6/15/83]</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emergency 7/30/90—published 8/22/90, effective 8/1/90]</w:t>
      </w:r>
    </w:p>
    <w:p>
      <w:pPr>
        <w:spacing w:before="0" w:after="0"/>
        <w:ind w:left="120"/>
        <w:jc w:val="center"/>
      </w:pPr>
      <w:r>
        <w:rPr>
          <w:rFonts w:ascii="Times New Roman" w:hAnsi="Times New Roman"/>
          <w:b w:val="false"/>
          <w:i w:val="false"/>
          <w:color w:val="000000"/>
          <w:sz w:val="21"/>
        </w:rPr>
        <w:t>[Filed emergency 2/1/91—published 2/20/91, effective 3/1/91]</w:t>
      </w:r>
    </w:p>
    <w:p>
      <w:pPr>
        <w:spacing w:before="0" w:after="0"/>
        <w:ind w:left="120"/>
        <w:jc w:val="center"/>
      </w:pPr>
      <w:r>
        <w:rPr>
          <w:rFonts w:ascii="Times New Roman" w:hAnsi="Times New Roman"/>
          <w:b w:val="false"/>
          <w:i w:val="false"/>
          <w:color w:val="000000"/>
          <w:sz w:val="21"/>
        </w:rPr>
        <w:t>[Filed 2/1/91, Notice 8/22/90—published 2/20/91, effective 3/27/91]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10/24/91, Notice 8/7/91—published 11/13/91, effective 1/1/92]</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4800C</w:t>
      </w:r>
      <w:r>
        <w:rPr>
          <w:rFonts w:ascii="Times New Roman" w:hAnsi="Times New Roman"/>
          <w:b w:val="false"/>
          <w:i w:val="false"/>
          <w:color w:val="000000"/>
          <w:sz w:val="21"/>
        </w:rPr>
        <w:t xml:space="preserve"> (Notice ARC 4667C, IAB 9/25/19)</w:t>
      </w:r>
      <w:r>
        <w:rPr>
          <w:rFonts w:ascii="Times New Roman" w:hAnsi="Times New Roman"/>
          <w:b w:val="false"/>
          <w:i w:val="false"/>
          <w:color w:val="000000"/>
          <w:sz w:val="21"/>
        </w:rPr>
        <w:t>, IAB 12/4/19, effective 1/8/20]</w:t>
      </w:r>
    </w:p>
    <w:p>
      <w:pPr>
        <w:pBdr>
          <w:bottom w:space="2"/>
        </w:pBdr>
        <w:spacing w:before="0" w:after="0"/>
        <w:ind w:left="120"/>
        <w:jc w:val="both"/>
      </w:pPr>
      <w:r>
        <w:rPr>
          <w:rFonts w:ascii="Times New Roman" w:hAnsi="Times New Roman"/>
          <w:b w:val="false"/>
          <w:i w:val="false"/>
          <w:color w:val="000000"/>
          <w:sz w:val="22"/>
        </w:rPr>
        <w:t>Effective date of 3/27/91 delayed 70 days by the Administrative Rules Review Committee at its meeting held March 11, 1991.</w:t>
      </w:r>
      <w:r>
        <w:br/>
      </w:r>
      <w:r>
        <w:rPr>
          <w:rFonts w:ascii="Times New Roman" w:hAnsi="Times New Roman"/>
          <w:b w:val="false"/>
          <w:i w:val="false"/>
          <w:color w:val="000000"/>
          <w:sz w:val="22"/>
        </w:rPr>
        <w:t>Delay lifted, effective 5/16/91.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89.pdf" Type="http://schemas.openxmlformats.org/officeDocument/2006/relationships/hyperlink" Id="rId5"/>
    <Relationship TargetMode="External" Target="https://www.legis.iowa.gov/docs/ico/chapter/321.89.pdf" Type="http://schemas.openxmlformats.org/officeDocument/2006/relationships/hyperlink" Id="rId6"/>
    <Relationship TargetMode="External" Target="https://www.legis.iowa.gov/docs/ico/chapter/29C.6.pdf" Type="http://schemas.openxmlformats.org/officeDocument/2006/relationships/hyperlink" Id="rId7"/>
    <Relationship TargetMode="External" Target="https://www.legis.iowa.gov/docs/ico/chapter/80.9.pdf" Type="http://schemas.openxmlformats.org/officeDocument/2006/relationships/hyperlink" Id="rId8"/>
    <Relationship TargetMode="External" Target="https://www.legis.iowa.gov/docs/ico/chapter/321.89.pdf" Type="http://schemas.openxmlformats.org/officeDocument/2006/relationships/hyperlink" Id="rId9"/>
    <Relationship TargetMode="External" Target="https://www.legis.iowa.gov/docs/iac/rule/661.6.1.pdf" Type="http://schemas.openxmlformats.org/officeDocument/2006/relationships/hyperlink" Id="rId10"/>
    <Relationship TargetMode="External" Target="https://www.legis.iowa.gov/docs/iac/rule/661.6.5.pdf" Type="http://schemas.openxmlformats.org/officeDocument/2006/relationships/hyperlink" Id="rId11"/>
    <Relationship TargetMode="External" Target="https://www.legis.iowa.gov/docs/iac/rule/661.6.5.pdf" Type="http://schemas.openxmlformats.org/officeDocument/2006/relationships/hyperlink" Id="rId12"/>
    <Relationship TargetMode="External" Target="https://www.legis.iowa.gov/docs/iac/rule/661.6.5.pdf" Type="http://schemas.openxmlformats.org/officeDocument/2006/relationships/hyperlink" Id="rId13"/>
    <Relationship TargetMode="External" Target="https://www.legis.iowa.gov/docs/iac/rule/661.6.5.pdf" Type="http://schemas.openxmlformats.org/officeDocument/2006/relationships/hyperlink" Id="rId14"/>
    <Relationship TargetMode="External" Target="https://www.legis.iowa.gov/docs/iac/rule/661.6.5.pdf" Type="http://schemas.openxmlformats.org/officeDocument/2006/relationships/hyperlink" Id="rId15"/>
    <Relationship TargetMode="External" Target="https://www.legis.iowa.gov/docs/iac/rule/661.6.5.pdf" Type="http://schemas.openxmlformats.org/officeDocument/2006/relationships/hyperlink" Id="rId16"/>
    <Relationship TargetMode="External" Target="https://www.legis.iowa.gov/docs/ico/chapter/321.238.pdf" Type="http://schemas.openxmlformats.org/officeDocument/2006/relationships/hyperlink" Id="rId17"/>
    <Relationship TargetMode="External" Target="https://www.legis.iowa.gov/docs/ico/chapter/321.88.pdf" Type="http://schemas.openxmlformats.org/officeDocument/2006/relationships/hyperlink" Id="rId18"/>
    <Relationship TargetMode="External" Target="https://www.legis.iowa.gov/docs/iac/rule/661.6.5.pdf" Type="http://schemas.openxmlformats.org/officeDocument/2006/relationships/hyperlink" Id="rId19"/>
    <Relationship TargetMode="External" Target="https://www.legis.iowa.gov/docs/iac/rule/661.6.5.pdf" Type="http://schemas.openxmlformats.org/officeDocument/2006/relationships/hyperlink" Id="rId20"/>
    <Relationship TargetMode="External" Target="https://www.legis.iowa.gov/docs/iac/rule/661.5.4.pdf" Type="http://schemas.openxmlformats.org/officeDocument/2006/relationships/hyperlink" Id="rId21"/>
    <Relationship TargetMode="External" Target="https://www.legis.iowa.gov/docs/ico/chapter/80.9.pdf" Type="http://schemas.openxmlformats.org/officeDocument/2006/relationships/hyperlink" Id="rId22"/>
    <Relationship TargetMode="External" Target="https://www.legis.iowa.gov/docs/ico/chapter/321.89.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