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503</w:t>
      </w:r>
    </w:p>
    <w:p>
      <w:pPr>
        <w:spacing w:before="0" w:after="0"/>
        <w:ind w:left="120"/>
        <w:jc w:val="center"/>
      </w:pPr>
      <w:r>
        <w:rPr>
          <w:rFonts w:ascii="Times New Roman" w:hAnsi="Times New Roman"/>
          <w:b w:val="false"/>
          <w:i w:val="false"/>
          <w:color w:val="000000"/>
          <w:sz w:val="21"/>
        </w:rPr>
        <w:t>ELECTRICIAN AND ELECTRICAL CONTRACTOR LICENSING PROGRAM—</w:t>
      </w:r>
      <w:r>
        <w:br/>
      </w:r>
      <w:r>
        <w:rPr>
          <w:rFonts w:ascii="Times New Roman" w:hAnsi="Times New Roman"/>
          <w:b w:val="false"/>
          <w:i w:val="false"/>
          <w:color w:val="000000"/>
          <w:sz w:val="21"/>
        </w:rPr>
        <w:t>COMPLAINTS AND DISCIPLINE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661—503.1</w:t>
      </w:r>
      <w:r>
        <w:rPr>
          <w:rFonts w:ascii="Times New Roman" w:hAnsi="Times New Roman"/>
          <w:b/>
          <w:i w:val="false"/>
          <w:color w:val="000000"/>
          <w:sz w:val="22"/>
        </w:rPr>
        <w:t xml:space="preserve">(103) </w:t>
      </w:r>
      <w:r>
        <w:rPr>
          <w:rFonts w:ascii="Times New Roman" w:hAnsi="Times New Roman"/>
          <w:b/>
          <w:i w:val="false"/>
          <w:color w:val="000000"/>
          <w:sz w:val="22"/>
        </w:rPr>
        <w:t xml:space="preserve">Complaints. </w:t>
      </w:r>
      <w:r>
        <w:rPr>
          <w:rFonts w:ascii="Times New Roman" w:hAnsi="Times New Roman"/>
          <w:b w:val="false"/>
          <w:i w:val="false"/>
          <w:color w:val="000000"/>
          <w:sz w:val="22"/>
        </w:rPr>
        <w:t>Any person may file a complaint regarding work performed by any licensee or licensee applicant, or by an unlicensed person who should possess a license issued by the board. Complaints can be filed either in writing or electronically.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661—503.2</w:t>
      </w:r>
      <w:r>
        <w:rPr>
          <w:rFonts w:ascii="Times New Roman" w:hAnsi="Times New Roman"/>
          <w:b/>
          <w:i w:val="false"/>
          <w:color w:val="000000"/>
          <w:sz w:val="22"/>
        </w:rPr>
        <w:t xml:space="preserve">(103) </w:t>
      </w:r>
      <w:r>
        <w:rPr>
          <w:rFonts w:ascii="Times New Roman" w:hAnsi="Times New Roman"/>
          <w:b/>
          <w:i w:val="false"/>
          <w:color w:val="000000"/>
          <w:sz w:val="22"/>
        </w:rPr>
        <w:t xml:space="preserve">Discipline. </w:t>
      </w:r>
      <w:r>
        <w:rPr>
          <w:rFonts w:ascii="Times New Roman" w:hAnsi="Times New Roman"/>
          <w:b w:val="false"/>
          <w:i w:val="false"/>
          <w:color w:val="000000"/>
          <w:sz w:val="22"/>
        </w:rPr>
        <w:t xml:space="preserve">If a complaint alleging an act or acts in violation of Iowa Code chapter </w:t>
      </w:r>
      <w:hyperlink r:id="rId5">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 rules adopted by the board, or any other provision of law deemed relevant by the board to the use of a license issued by the board is substantiated, the board may suspend the license for a specific period of time, or indefinitely, may revoke the license, or may reprimand the licensee. The holder of a license which is suspended or revoked will be notified of the suspension or revocation in writing by registered mail, return receipt requested, or by personal service. The notice will include a statement that the licensee has the right to appeal the reprimand, suspension or revocation to the board within 30 days of receiving the notice, and that the reprimand, revocation or suspension will not take effect until the time to file an appeal has expired. If an appeal is filed, the reprimand, suspension or revocation is stayed until the appeal has been acted upon. The suspension of revocation becomes final 30 days after delivery of the notice if a timely request for an appeal is not received by the board.</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If the board finds that a violation which is the basis of the suspension or revocation is such that allowing the licensee to continue to engage in work covered by the license would present an imminent threat to the safety of the public, the board may provide that the suspension or revocation take effect immediately upon notice being delivered to the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661—503.3</w:t>
      </w:r>
      <w:r>
        <w:rPr>
          <w:rFonts w:ascii="Times New Roman" w:hAnsi="Times New Roman"/>
          <w:b/>
          <w:i w:val="false"/>
          <w:color w:val="000000"/>
          <w:sz w:val="22"/>
        </w:rPr>
        <w:t xml:space="preserve">(103) </w:t>
      </w:r>
      <w:r>
        <w:rPr>
          <w:rFonts w:ascii="Times New Roman" w:hAnsi="Times New Roman"/>
          <w:b/>
          <w:i w:val="false"/>
          <w:color w:val="000000"/>
          <w:sz w:val="22"/>
        </w:rPr>
        <w:t xml:space="preserve">Action against an unlicensed person. </w:t>
      </w:r>
      <w:r>
        <w:rPr>
          <w:rFonts w:ascii="Times New Roman" w:hAnsi="Times New Roman"/>
          <w:b w:val="false"/>
          <w:i w:val="false"/>
          <w:color w:val="000000"/>
          <w:sz w:val="22"/>
        </w:rPr>
        <w:t xml:space="preserve">If a person who is not licensed by the board has engaged in or is engaging in work requiring licensure by the board, the board may assess a civil penalty against the person, may seek an injunction to prevent the person from continuing to engage in such work, or both. A person who is accused of engaging in work where licensure is needed by law without having such a license will be notified of the specific allegations and intended remedial action by registered mail, return receipt requested, or by personal service. A person who is notified by the board of an intended remedial action under this rule may appeal the action as provided in rule </w:t>
      </w:r>
      <w:hyperlink r:id="rId6">
        <w:r>
          <w:rPr>
            <w:rStyle w:val="Hyperlink"/>
            <w:rFonts w:ascii="Times New Roman" w:hAnsi="Times New Roman"/>
            <w:b w:val="false"/>
            <w:i w:val="false"/>
            <w:color w:val="000000"/>
            <w:sz w:val="22"/>
          </w:rPr>
          <w:t>661—503.4</w:t>
        </w:r>
      </w:hyperlink>
      <w:r>
        <w:rPr>
          <w:rFonts w:ascii="Times New Roman" w:hAnsi="Times New Roman"/>
          <w:b w:val="false"/>
          <w:i w:val="false"/>
          <w:color w:val="000000"/>
          <w:sz w:val="22"/>
        </w:rPr>
        <w:t>(103). The intended remediable action becomes final 30 days after delivery of the notice if a timely request for an appeal is not received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661—503.4</w:t>
      </w:r>
      <w:r>
        <w:rPr>
          <w:rFonts w:ascii="Times New Roman" w:hAnsi="Times New Roman"/>
          <w:b/>
          <w:i w:val="false"/>
          <w:color w:val="000000"/>
          <w:sz w:val="22"/>
        </w:rPr>
        <w:t xml:space="preserve">(103) </w:t>
      </w:r>
      <w:r>
        <w:rPr>
          <w:rFonts w:ascii="Times New Roman" w:hAnsi="Times New Roman"/>
          <w:b/>
          <w:i w:val="false"/>
          <w:color w:val="000000"/>
          <w:sz w:val="22"/>
        </w:rPr>
        <w:t xml:space="preserve">Appeals. </w:t>
      </w:r>
      <w:r>
        <w:rPr>
          <w:rFonts w:ascii="Times New Roman" w:hAnsi="Times New Roman"/>
          <w:b w:val="false"/>
          <w:i w:val="false"/>
          <w:color w:val="000000"/>
          <w:sz w:val="22"/>
        </w:rPr>
        <w:t>A licensee whose license is disciplined, an applicant whose application for a license is denied, or a person who is not licensed by the board and who is assessed a civil penalty for engaging in an activity requiring a license may appeal the suspension, revocation, denial, or civil penalty to the board by notifying the board office of the appeal in writing within 30 calendar days after receiving notice of the suspension, revocation, denial, or civil penalty. Upon receipt of a timely appeal, the board will conduct a contested case hearing under 481—Chapter 10.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These rules are intended to implement Iowa Code chapter 103.</w:t>
      </w:r>
    </w:p>
    <w:p>
      <w:pPr>
        <w:spacing w:before="0" w:after="0"/>
        <w:ind w:left="120"/>
        <w:jc w:val="center"/>
      </w:pPr>
      <w:r>
        <w:rPr>
          <w:rFonts w:ascii="Times New Roman" w:hAnsi="Times New Roman"/>
          <w:b w:val="false"/>
          <w:i w:val="false"/>
          <w:color w:val="000000"/>
          <w:sz w:val="21"/>
        </w:rPr>
        <w:t>[Filed emergency 12/17/07—published 1/16/08, effective 1/1/08]</w:t>
      </w:r>
    </w:p>
    <w:p>
      <w:pPr>
        <w:spacing w:before="0" w:after="0"/>
        <w:ind w:left="120"/>
        <w:jc w:val="center"/>
      </w:pPr>
      <w:r>
        <w:rPr>
          <w:rFonts w:ascii="Times New Roman" w:hAnsi="Times New Roman"/>
          <w:b w:val="false"/>
          <w:i w:val="false"/>
          <w:color w:val="000000"/>
          <w:sz w:val="21"/>
        </w:rPr>
        <w:t>[Filed ARC 8396B</w:t>
      </w:r>
      <w:r>
        <w:rPr>
          <w:rFonts w:ascii="Times New Roman" w:hAnsi="Times New Roman"/>
          <w:b w:val="false"/>
          <w:i w:val="false"/>
          <w:color w:val="000000"/>
          <w:sz w:val="21"/>
        </w:rPr>
        <w:t xml:space="preserve"> (Notice ARC 8160B, IAB 9/23/09)</w:t>
      </w:r>
      <w:r>
        <w:rPr>
          <w:rFonts w:ascii="Times New Roman" w:hAnsi="Times New Roman"/>
          <w:b w:val="false"/>
          <w:i w:val="false"/>
          <w:color w:val="000000"/>
          <w:sz w:val="21"/>
        </w:rPr>
        <w:t>, IAB 12/16/09, effective 2/1/10]</w:t>
      </w:r>
    </w:p>
    <w:p>
      <w:pPr>
        <w:spacing w:before="0" w:after="0"/>
        <w:ind w:left="120"/>
        <w:jc w:val="center"/>
      </w:pPr>
      <w:r>
        <w:rPr>
          <w:rFonts w:ascii="Times New Roman" w:hAnsi="Times New Roman"/>
          <w:b w:val="false"/>
          <w:i w:val="false"/>
          <w:color w:val="000000"/>
          <w:sz w:val="21"/>
        </w:rPr>
        <w:t>[Filed ARC 7880C</w:t>
      </w:r>
      <w:r>
        <w:rPr>
          <w:rFonts w:ascii="Times New Roman" w:hAnsi="Times New Roman"/>
          <w:b w:val="false"/>
          <w:i w:val="false"/>
          <w:color w:val="000000"/>
          <w:sz w:val="21"/>
        </w:rPr>
        <w:t xml:space="preserve"> (Notice ARC 7277C, IAB 1/24/24)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3.pdf" Type="http://schemas.openxmlformats.org/officeDocument/2006/relationships/hyperlink" Id="rId5"/>
    <Relationship TargetMode="External" Target="https://www.legis.iowa.gov/docs/iac/rule/661.503.4.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