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ORGANIZATION AND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661—500.1</w:t>
      </w:r>
      <w:r>
        <w:rPr>
          <w:rFonts w:ascii="Times New Roman" w:hAnsi="Times New Roman"/>
          <w:b/>
          <w:i w:val="false"/>
          <w:color w:val="000000"/>
          <w:sz w:val="22"/>
        </w:rPr>
        <w:t xml:space="preserve">(103)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The electrician and electrical contractor licensing program is established in the department of inspections, appeals, and licensing. The program is under the direction of the electrical examining board. Contact information of the board office can be found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661—500.2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all rules adopted by the electrical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by the board” </w:t>
      </w:r>
      <w:r>
        <w:rPr>
          <w:rFonts w:ascii="Times New Roman" w:hAnsi="Times New Roman"/>
          <w:b w:val="false"/>
          <w:i w:val="false"/>
          <w:color w:val="000000"/>
          <w:sz w:val="22"/>
        </w:rPr>
        <w:t>means the approval of any item, test or procedure by the electrical examining board by adoption of a resolution at a meeting of the board, provided that the approval has not been withdrawn by a later resolution of the board. A list of any such items, tests, or procedures that have been approved by the board is available from the board office or from the board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means either that the actions taken in furtherance of an offense are actions customarily performed within the scope of practice of the profession; or that the circumstances under which an offense was committed are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building and construction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experience” </w:t>
      </w:r>
      <w:r>
        <w:rPr>
          <w:rFonts w:ascii="Times New Roman" w:hAnsi="Times New Roman"/>
          <w:b w:val="false"/>
          <w:i w:val="false"/>
          <w:color w:val="000000"/>
          <w:sz w:val="22"/>
        </w:rPr>
        <w:t>means experience which an applicant for licensing has completed and which has been documented by the applicant’s completion and submission of a sworn affidavit or other evidence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 xml:space="preserve">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 A request for permit and request for inspection, if required by rule </w:t>
      </w:r>
      <w:hyperlink r:id="rId5">
        <w:r>
          <w:rPr>
            <w:rStyle w:val="Hyperlink"/>
            <w:rFonts w:ascii="Times New Roman" w:hAnsi="Times New Roman"/>
            <w:b w:val="false"/>
            <w:i w:val="false"/>
            <w:color w:val="000000"/>
            <w:sz w:val="22"/>
          </w:rPr>
          <w:t>661—552.1</w:t>
        </w:r>
      </w:hyperlink>
      <w:r>
        <w:rPr>
          <w:rFonts w:ascii="Times New Roman" w:hAnsi="Times New Roman"/>
          <w:b w:val="false"/>
          <w:i w:val="false"/>
          <w:color w:val="000000"/>
          <w:sz w:val="22"/>
        </w:rPr>
        <w:t>(103), should be made as soon as practicable and, in any event, no more than 72 hours after the installation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w:t>
      </w:r>
      <w:r>
        <w:rPr>
          <w:rFonts w:ascii="Times New Roman" w:hAnsi="Times New Roman"/>
          <w:b w:val="false"/>
          <w:i w:val="false"/>
          <w:color w:val="000000"/>
          <w:sz w:val="22"/>
        </w:rPr>
        <w:t xml:space="preserve">means the issuance, denial, suspension, or revocation of a license. If an action is subject to appeal, “final agency action” has occurred when the administrative appeal process provided for in </w:t>
      </w:r>
      <w:hyperlink r:id="rId6">
        <w:r>
          <w:rPr>
            <w:rStyle w:val="Hyperlink"/>
            <w:rFonts w:ascii="Times New Roman" w:hAnsi="Times New Roman"/>
            <w:b w:val="false"/>
            <w:i w:val="false"/>
            <w:color w:val="000000"/>
            <w:sz w:val="22"/>
          </w:rPr>
          <w:t>661—Chapter 503</w:t>
        </w:r>
      </w:hyperlink>
      <w:r>
        <w:rPr>
          <w:rFonts w:ascii="Times New Roman" w:hAnsi="Times New Roman"/>
          <w:b w:val="false"/>
          <w:i w:val="false"/>
          <w:color w:val="000000"/>
          <w:sz w:val="22"/>
        </w:rPr>
        <w:t xml:space="preserve"> has been exhausted or when the deadline for filing an appeal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apprenticeship program” </w:t>
      </w:r>
      <w:r>
        <w:rPr>
          <w:rFonts w:ascii="Times New Roman" w:hAnsi="Times New Roman"/>
          <w:b w:val="false"/>
          <w:i w:val="false"/>
          <w:color w:val="000000"/>
          <w:sz w:val="22"/>
        </w:rPr>
        <w:t>means an electrical apprenticeship program registered with the Bureau of Apprenticeship and Training of the United States Department of Labor or an electrical apprenticeship program registered with a state agency whose registration program is accepted by the Bureau of Apprenticeship and Training in lieu of direct registration with the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“Transferring jurisdiction”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17A,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7877C</w:t>
      </w:r>
      <w:r>
        <w:rPr>
          <w:rFonts w:ascii="Times New Roman" w:hAnsi="Times New Roman"/>
          <w:b w:val="false"/>
          <w:i w:val="false"/>
          <w:color w:val="000000"/>
          <w:sz w:val="21"/>
        </w:rPr>
        <w:t xml:space="preserve"> (Notice ARC 7281C,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552.1.pdf" Type="http://schemas.openxmlformats.org/officeDocument/2006/relationships/hyperlink" Id="rId5"/>
    <Relationship TargetMode="External" Target="https://www.legis.iowa.gov/docs/iac/chapter/661.503.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