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PEACE OFFICERS’ RETIREMENT, ACCIDENT, AND</w:t>
      </w:r>
      <w:r>
        <w:br/>
      </w:r>
      <w:r>
        <w:rPr>
          <w:rFonts w:ascii="Times New Roman" w:hAnsi="Times New Roman"/>
          <w:b w:val="false"/>
          <w:i w:val="false"/>
          <w:color w:val="000000"/>
          <w:sz w:val="21"/>
        </w:rPr>
        <w:t>DISABILITY SYSTEM—ADMINISTRATIVE PROCEDURES</w:t>
      </w:r>
    </w:p>
    <w:p>
      <w:pPr>
        <w:spacing w:before="0" w:after="0"/>
        <w:ind w:left="120"/>
        <w:jc w:val="center"/>
      </w:pPr>
      <w:r>
        <w:rPr>
          <w:rFonts w:ascii="Times New Roman" w:hAnsi="Times New Roman"/>
          <w:b w:val="false"/>
          <w:i w:val="false"/>
          <w:color w:val="000000"/>
          <w:sz w:val="14"/>
        </w:rPr>
        <w:t>[Prior to 10/27/04, see 581—Ch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661—401.1</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Applications for benefits under Iowa Code chapter </w:t>
      </w:r>
      <w:hyperlink r:id="rId5">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shall be filed with the secretary on forms provided by the secretary. Applications for service retirement shall be made not more than 90 days nor less than 30 days in advance of the date of retirement. Applications for service retirement, ordinary disability or accidental disability shall be reviewed by the secretary for completeness and then forwarded to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color w:val="000000"/>
          <w:sz w:val="22"/>
        </w:rPr>
        <w:t xml:space="preserve">Manner of review for ordinary or accidental disability. </w:t>
      </w:r>
      <w:r>
        <w:rPr>
          <w:rFonts w:ascii="Times New Roman" w:hAnsi="Times New Roman"/>
          <w:b w:val="false"/>
          <w:i w:val="false"/>
          <w:color w:val="000000"/>
          <w:sz w:val="22"/>
        </w:rPr>
        <w:t>The secretary shall compile the following materials, if available and applicable, for the board’s review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materials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available medical information in the possession of the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information available through any workers’ compensation claims made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Recommendations and reports from the medical board.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subrule does not impose a responsibility on the secretary to discover documents or evidence not in the secretary’s possession. It is only intended to outline the types of evidence the secretary should provide to the board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color w:val="000000"/>
          <w:sz w:val="22"/>
        </w:rPr>
        <w:t xml:space="preserve">Commissioner’s application. </w:t>
      </w:r>
      <w:r>
        <w:rPr>
          <w:rFonts w:ascii="Times New Roman" w:hAnsi="Times New Roman"/>
          <w:b w:val="false"/>
          <w:i w:val="false"/>
          <w:color w:val="000000"/>
          <w:sz w:val="22"/>
        </w:rPr>
        <w:t>The commissioner may file an application for ordinary or accidental disability on behalf of a member in service. The secretary shall review such applications in the same manner as those filed by a member. The fact that the commissioner has filed an application on a member’s behalf shall not prevent the commissioner or the board from denying the application. All applications for accidental disability benefits shall be deemed cross-filed by the commissioner for the purpose of considering disability benefits. Nothing in this rule prevents the board from denying any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661—401.2</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on initial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The board may approve or deny the application as presented or may direct the applicant to provide further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Denial and appeal. </w:t>
      </w:r>
      <w:r>
        <w:rPr>
          <w:rFonts w:ascii="Times New Roman" w:hAnsi="Times New Roman"/>
          <w:b w:val="false"/>
          <w:i w:val="false"/>
          <w:color w:val="000000"/>
          <w:sz w:val="22"/>
        </w:rPr>
        <w:t>A decision by the board to deny the application may be appealed by the applicant. Written notice of a denial shall be provided to the applicant by certified mail. The written notice shall disclose the applicant’s right to appeal, the procedure for filing an appeal, and the deadline for filing an appeal. An appeal must be filed in writing with the secretary within 30 calendar days after the applicant receives written notice of the decision of the board. The board may extend the deadline for filing an appeal. At a minimum, an appeal shall include a short and concise statement of the basis for the appeal.</w:t>
      </w:r>
    </w:p>
    <w:p>
      <w:pPr>
        <w:spacing w:before="0" w:after="0"/>
        <w:ind w:left="120"/>
        <w:jc w:val="both"/>
      </w:pPr>
      <w:r>
        <w:rPr>
          <w:rFonts w:ascii="Times New Roman" w:hAnsi="Times New Roman"/>
          <w:b/>
          <w:i w:val="false"/>
          <w:color w:val="000000"/>
          <w:sz w:val="22"/>
        </w:rPr>
        <w:t>661—401.3</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for reimbursement for medical attention. </w:t>
      </w:r>
      <w:r>
        <w:rPr>
          <w:rFonts w:ascii="Times New Roman" w:hAnsi="Times New Roman"/>
          <w:b w:val="false"/>
          <w:i w:val="false"/>
          <w:color w:val="000000"/>
          <w:sz w:val="22"/>
        </w:rPr>
        <w:t xml:space="preserve">Member beneficiaries may make application for reimbursement of the costs of medical attention as defined in rule </w:t>
      </w:r>
      <w:hyperlink r:id="rId6">
        <w:r>
          <w:rPr>
            <w:rStyle w:val="Hyperlink"/>
            <w:rFonts w:ascii="Times New Roman" w:hAnsi="Times New Roman"/>
            <w:b w:val="false"/>
            <w:i w:val="false"/>
            <w:color w:val="000000"/>
            <w:sz w:val="22"/>
          </w:rPr>
          <w:t>661—400.2</w:t>
        </w:r>
      </w:hyperlink>
      <w:r>
        <w:rPr>
          <w:rFonts w:ascii="Times New Roman" w:hAnsi="Times New Roman"/>
          <w:b w:val="false"/>
          <w:i w:val="false"/>
          <w:color w:val="000000"/>
          <w:sz w:val="22"/>
        </w:rPr>
        <w:t>(97A). This rule provides for the requirements of making application for reimbursement, the process for review and disposition of the application, and payment of approved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color w:val="000000"/>
          <w:sz w:val="22"/>
        </w:rPr>
        <w:t xml:space="preserve">Making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reimbursement must be filed on a form provided by the secretary within 12 months of the member beneficiary’s receiving treatment or incurring a cost for medical attention.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there is a dispute with an insurance company regarding covered expenses, to remain eligible for reimbursement, the member beneficiary must file a request for extension, on a form provided by the secretary, if resolution of the dispute is expected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only be reimbursed if the member beneficiary is retired as a result of an injury, illness or exposure occurring while in the performance of duty and is receiving a benefit as provided in Iowa Code section </w:t>
      </w:r>
      <w:hyperlink r:id="rId7">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be reimbursed only if the member beneficiary received medical attention for a condition with direct correlation to the disabling condition, the costs of which were not covered by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system shall not reimburse for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color w:val="000000"/>
          <w:sz w:val="22"/>
        </w:rPr>
        <w:t xml:space="preserve">Processing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application and supporting documentation, the secretary shall review the application for timeliness, completeness and validity. This subrule does not impose a responsibility on the secretary to discover documents or evidence not included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refer the written application to the board for review at the next regularly scheduled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beneficiary does not need to be in attendance at the board meeting. In order to comply with Title II of the Health Insurance Portability and Accountability Act of 1996 (HIPAA), specific information pertaining to an application for reimbursement or the member beneficiary’s disabling condition will not be discussed in open forum of the board meeting unless the member beneficiary is present and approves discussion in a public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approve or deny all or part of a reimbursement application. The board may request additional information to support the application for reimbursement or to determine the correlation of the expense to the disabling condition. The member beneficiary shall provide the documents to the secretary within a reasonable time period. In no case shall the application remain valid for a period of more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denies any part of a request for reimbursement, the member beneficiary may request judicial review in accordance with Iowa Code section </w:t>
      </w:r>
      <w:hyperlink r:id="rId8">
        <w:r>
          <w:rPr>
            <w:rStyle w:val="Hyperlink"/>
            <w:rFonts w:ascii="Times New Roman" w:hAnsi="Times New Roman"/>
            <w:b w:val="false"/>
            <w:i w:val="false"/>
            <w:color w:val="000000"/>
            <w:sz w:val="22"/>
          </w:rPr>
          <w:t>97A.6(13)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system will make reimbursements only to the member beneficiary or to the surviving spouse in the event the member beneficiary is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Reimbursements for claimed expenses shall be reduced by any amount already received by the member beneficiary from workers’ compensation or from a third party as a result of subrogation proceedings entered into as a result of the disabling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member beneficiary is restored to active service pursuant to Iowa Code section </w:t>
      </w:r>
      <w:hyperlink r:id="rId9">
        <w:r>
          <w:rPr>
            <w:rStyle w:val="Hyperlink"/>
            <w:rFonts w:ascii="Times New Roman" w:hAnsi="Times New Roman"/>
            <w:b w:val="false"/>
            <w:i w:val="false"/>
            <w:color w:val="000000"/>
            <w:sz w:val="22"/>
          </w:rPr>
          <w:t>97A.6(7)</w:t>
        </w:r>
      </w:hyperlink>
      <w:r>
        <w:rPr>
          <w:rFonts w:ascii="Times New Roman" w:hAnsi="Times New Roman"/>
          <w:b w:val="false"/>
          <w:i/>
          <w:color w:val="000000"/>
          <w:sz w:val="22"/>
        </w:rPr>
        <w:t>“b,”</w:t>
      </w:r>
      <w:r>
        <w:rPr>
          <w:rFonts w:ascii="Times New Roman" w:hAnsi="Times New Roman"/>
          <w:b w:val="false"/>
          <w:i w:val="false"/>
          <w:color w:val="000000"/>
          <w:sz w:val="22"/>
        </w:rPr>
        <w:t xml:space="preserve">consideration of reimbursement for expenses pursuant to Iowa Code section </w:t>
      </w:r>
      <w:hyperlink r:id="rId10">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restoration to active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beneficiary receiving a disability retirement pursuant to Iowa Code section </w:t>
      </w:r>
      <w:hyperlink r:id="rId11">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 xml:space="preserve"> becomes employed in a public safety occupation pursuant to Iowa Code section </w:t>
      </w:r>
      <w:hyperlink r:id="rId12">
        <w:r>
          <w:rPr>
            <w:rStyle w:val="Hyperlink"/>
            <w:rFonts w:ascii="Times New Roman" w:hAnsi="Times New Roman"/>
            <w:b w:val="false"/>
            <w:i w:val="false"/>
            <w:color w:val="000000"/>
            <w:sz w:val="22"/>
          </w:rPr>
          <w:t>97A.6(7)</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consideration of reimbursement for expenses pursuant to Iowa Code section </w:t>
      </w:r>
      <w:hyperlink r:id="rId13">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employment with the employing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661—401.4</w:t>
      </w:r>
      <w:r>
        <w:rPr>
          <w:rFonts w:ascii="Times New Roman" w:hAnsi="Times New Roman"/>
          <w:b w:val="false"/>
          <w:i w:val="false"/>
          <w:color w:val="000000"/>
          <w:sz w:val="22"/>
        </w:rPr>
        <w:t xml:space="preserve"> to </w:t>
      </w:r>
      <w:r>
        <w:rPr>
          <w:rFonts w:ascii="Times New Roman" w:hAnsi="Times New Roman"/>
          <w:b/>
          <w:i w:val="false"/>
          <w:color w:val="000000"/>
          <w:sz w:val="22"/>
        </w:rPr>
        <w:t>401.100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PROCEDURE FOR RULE MAKING</w:t>
      </w:r>
    </w:p>
    <w:p>
      <w:pPr>
        <w:spacing w:before="210" w:after="0"/>
        <w:ind w:left="120"/>
        <w:jc w:val="both"/>
      </w:pPr>
      <w:r>
        <w:rPr>
          <w:rFonts w:ascii="Times New Roman" w:hAnsi="Times New Roman"/>
          <w:b/>
          <w:i w:val="false"/>
          <w:color w:val="000000"/>
          <w:sz w:val="22"/>
        </w:rPr>
        <w:t>661—401.101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are subject to the provisions of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provisions of this chapter.</w:t>
      </w:r>
    </w:p>
    <w:p>
      <w:pPr>
        <w:spacing w:before="210" w:after="0"/>
        <w:ind w:left="120"/>
        <w:jc w:val="both"/>
      </w:pPr>
      <w:r>
        <w:rPr>
          <w:rFonts w:ascii="Times New Roman" w:hAnsi="Times New Roman"/>
          <w:b/>
          <w:i w:val="false"/>
          <w:color w:val="000000"/>
          <w:sz w:val="22"/>
        </w:rPr>
        <w:t>661—401.102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In addition to seeking information by other methods, the board may, before publication of a Notice of Intended Action, solicit comments from the public on a subject or subjects of possible rule making by the board by causing notice to be published in the Iowa Administrative Bulletin of the subject matter and indicating where, when, and how persons may comment, or by otherwise publicizing the interest of the board in soliciting comment on a subject or subjects of possible rule making. Any such effort shall include publication of the interest of the board on the department of public safety’s website and may include publication in any other venue deemed appropriate by the board or officials or staff of the department.</w:t>
      </w:r>
    </w:p>
    <w:p>
      <w:pPr>
        <w:spacing w:before="210" w:after="0"/>
        <w:ind w:left="120"/>
        <w:jc w:val="both"/>
      </w:pPr>
      <w:r>
        <w:rPr>
          <w:rFonts w:ascii="Times New Roman" w:hAnsi="Times New Roman"/>
          <w:b/>
          <w:i w:val="false"/>
          <w:color w:val="000000"/>
          <w:sz w:val="22"/>
        </w:rPr>
        <w:t>661—401.103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Pursuant to Executive Order 9, the department maintains a current public rule-making docket. All rule-making activity of the board of trustees of the peace officers’ retirement, accident, and disability system shall be included in the rule-making docket of the department, including a rule making which has formally commenced with a Notice of Intended Action and an anticipated rule making identified by the board or staff. The rule-making docket is maintained on the website of the department.</w:t>
      </w:r>
    </w:p>
    <w:p>
      <w:pPr>
        <w:spacing w:before="0" w:after="0"/>
        <w:ind w:left="120"/>
        <w:jc w:val="both"/>
      </w:pPr>
      <w:r>
        <w:rPr>
          <w:rFonts w:ascii="Times New Roman" w:hAnsi="Times New Roman"/>
          <w:b/>
          <w:i w:val="false"/>
          <w:color w:val="000000"/>
          <w:sz w:val="22"/>
        </w:rPr>
        <w:t>661—401.104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rules, the agency rules administrator of the department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time and place of an oral proceeding at which any interested party may comment on the proposed rules, or where, when, and how persons may demand an oral proceeding on the proposed rules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board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A proposed rule may incorporate other materials by reference.</w:t>
      </w:r>
    </w:p>
    <w:p>
      <w:pPr>
        <w:spacing w:before="0" w:after="0"/>
        <w:ind w:left="120"/>
        <w:jc w:val="both"/>
      </w:pPr>
      <w:r>
        <w:rPr>
          <w:rFonts w:ascii="Times New Roman" w:hAnsi="Times New Roman"/>
          <w:b/>
          <w:i w:val="false"/>
          <w:color w:val="000000"/>
          <w:sz w:val="22"/>
        </w:rPr>
        <w:t>661—401.105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Agency Rules Administrator, Department of Public Safety, State Public Safety Headquarters Building, 215 East 7th Street, Des Moines, Iowa 50319, or to the person or office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If an oral proceeding has not previously been scheduled regarding proposed rules,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an agency, an association having not less than 25 members, or at least 25 persons.</w:t>
      </w:r>
    </w:p>
    <w:p>
      <w:pPr>
        <w:spacing w:before="0" w:after="0"/>
        <w:ind w:left="120"/>
        <w:jc w:val="both"/>
      </w:pPr>
      <w:r>
        <w:rPr>
          <w:rFonts w:ascii="Times New Roman" w:hAnsi="Times New Roman"/>
          <w:b w:val="false"/>
          <w:i w:val="false"/>
          <w:color w:val="000000"/>
          <w:sz w:val="22"/>
        </w:rPr>
        <w:t>An oral proceeding may be scheduled or conducted by the board at the discretion of the board or of the chair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rules administrator of the department of public safety or the administrator’s designee shall preside at the oral proceeding on a proposed rule, unless the board conducts the oral proceeding. If the board does not conduct the oral proceeding, the presiding officer may prepare a memorandum for consideration by the board summarizing the contents of the presentations made at the oral proceeding if the administrator determines that such a memorandum would be helpful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department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may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summarize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 The presiding officer may provide for the record of an oral proceeding to be held open for a specific length of time, announced at the oral proceeding, to allow for the submission of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representatives of the board who may be present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The department shall schedule oral proceedings in rooms accessible to and functional for persons with physical disabilities. Persons who have special requirements should contact the Agency Rules Administrator, Department of Public Safety, State Public Safety Headquarters Building, 215 East 7th Street, Des Moines, Iowa 50319, by mail, by telephone at (515)725-6185, or by electronic mail at </w:t>
      </w:r>
      <w:r>
        <w:rPr>
          <w:rFonts w:ascii="Times New Roman" w:hAnsi="Times New Roman"/>
          <w:b w:val="false"/>
          <w:i w:val="false"/>
          <w:color w:val="000000"/>
          <w:sz w:val="22"/>
          <w:u w:val="single"/>
        </w:rPr>
        <w:t>admrule@dps.state.ia.us</w:t>
      </w:r>
      <w:r>
        <w:rPr>
          <w:rFonts w:ascii="Times New Roman" w:hAnsi="Times New Roman"/>
          <w:b w:val="false"/>
          <w:i w:val="false"/>
          <w:color w:val="000000"/>
          <w:sz w:val="22"/>
        </w:rPr>
        <w:t>,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661—401.106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r>
        <w:rPr>
          <w:rFonts w:ascii="Times New Roman" w:hAnsi="Times New Roman"/>
          <w:b w:val="false"/>
          <w:i w:val="false"/>
          <w:color w:val="000000"/>
          <w:sz w:val="22"/>
        </w:rPr>
        <w:t xml:space="preserve">The agency rules administrator shall prepare a regulatory analysis of proposed rules in compliance with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if requested pursuant to Iowa Code section </w:t>
      </w:r>
      <w:hyperlink r:id="rId17">
        <w:r>
          <w:rPr>
            <w:rStyle w:val="Hyperlink"/>
            <w:rFonts w:ascii="Times New Roman" w:hAnsi="Times New Roman"/>
            <w:b w:val="false"/>
            <w:i w:val="false"/>
            <w:color w:val="000000"/>
            <w:sz w:val="22"/>
          </w:rPr>
          <w:t>17A.4A, subsection 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661—401.107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r>
        <w:rPr>
          <w:rFonts w:ascii="Times New Roman" w:hAnsi="Times New Roman"/>
          <w:b w:val="false"/>
          <w:i w:val="false"/>
          <w:color w:val="000000"/>
          <w:sz w:val="22"/>
        </w:rPr>
        <w:t xml:space="preserve">For each Notice of Intended Action or emergency adoption of rules filed, the staff of the system and the department shall develop a fiscal impact statement in compliance with Iowa Code section </w:t>
      </w:r>
      <w:hyperlink r:id="rId18">
        <w:r>
          <w:rPr>
            <w:rStyle w:val="Hyperlink"/>
            <w:rFonts w:ascii="Times New Roman" w:hAnsi="Times New Roman"/>
            <w:b w:val="false"/>
            <w:i w:val="false"/>
            <w:color w:val="000000"/>
            <w:sz w:val="22"/>
          </w:rPr>
          <w:t>17A.4, subsection 3</w:t>
        </w:r>
      </w:hyperlink>
      <w:r>
        <w:rPr>
          <w:rFonts w:ascii="Times New Roman" w:hAnsi="Times New Roman"/>
          <w:b w:val="false"/>
          <w:i w:val="false"/>
          <w:color w:val="000000"/>
          <w:sz w:val="22"/>
        </w:rPr>
        <w:t>, and procedures established by the legislative services agency, if the preparation of a fiscal impact statement is required.</w:t>
      </w:r>
    </w:p>
    <w:p>
      <w:pPr>
        <w:spacing w:before="0" w:after="0"/>
        <w:ind w:left="120"/>
        <w:jc w:val="both"/>
      </w:pPr>
      <w:r>
        <w:rPr>
          <w:rFonts w:ascii="Times New Roman" w:hAnsi="Times New Roman"/>
          <w:b/>
          <w:i w:val="false"/>
          <w:color w:val="000000"/>
          <w:sz w:val="22"/>
        </w:rPr>
        <w:t>661—401.108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board shall not adopt a rule until the period for making written submissions and oral presentations has expired. Within 180 days after the later of the publication of the Notice of Intended Action, or the end of oral proceedings thereon, the board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board may waive the notice requirements or time periods specified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in compliance with Iowa Code section </w:t>
      </w:r>
      <w:hyperlink r:id="rId20">
        <w:r>
          <w:rPr>
            <w:rStyle w:val="Hyperlink"/>
            <w:rFonts w:ascii="Times New Roman" w:hAnsi="Times New Roman"/>
            <w:b w:val="false"/>
            <w:i w:val="false"/>
            <w:color w:val="000000"/>
            <w:sz w:val="22"/>
          </w:rPr>
          <w:t>17A.4, subsection 2</w:t>
        </w:r>
      </w:hyperlink>
      <w:r>
        <w:rPr>
          <w:rFonts w:ascii="Times New Roman" w:hAnsi="Times New Roman"/>
          <w:b w:val="false"/>
          <w:i w:val="false"/>
          <w:color w:val="000000"/>
          <w:sz w:val="22"/>
        </w:rPr>
        <w:t xml:space="preserve">, or Iowa Code section </w:t>
      </w:r>
      <w:hyperlink r:id="rId21">
        <w:r>
          <w:rPr>
            <w:rStyle w:val="Hyperlink"/>
            <w:rFonts w:ascii="Times New Roman" w:hAnsi="Times New Roman"/>
            <w:b w:val="false"/>
            <w:i w:val="false"/>
            <w:color w:val="000000"/>
            <w:sz w:val="22"/>
          </w:rPr>
          <w:t>17A.5, subsection 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401.108(3)</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board may use its own experience, technical competence, specialized knowledge, and judgment, or that of department staff,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401.108(4)</w:t>
      </w:r>
      <w:r>
        <w:rPr>
          <w:rFonts w:ascii="Times New Roman" w:hAnsi="Times New Roman"/>
          <w:b w:val="false"/>
          <w:i w:val="false"/>
          <w:color w:val="000000"/>
          <w:sz w:val="22"/>
        </w:rPr>
        <w:t> </w:t>
      </w:r>
      <w:r>
        <w:rPr>
          <w:rFonts w:ascii="Times New Roman" w:hAnsi="Times New Roman"/>
          <w:b w:val="false"/>
          <w:i/>
          <w:color w:val="000000"/>
          <w:sz w:val="22"/>
        </w:rPr>
        <w:t xml:space="preserve">Adoption by reference. </w:t>
      </w:r>
      <w:r>
        <w:rPr>
          <w:rFonts w:ascii="Times New Roman" w:hAnsi="Times New Roman"/>
          <w:b w:val="false"/>
          <w:i w:val="false"/>
          <w:color w:val="000000"/>
          <w:sz w:val="22"/>
        </w:rPr>
        <w:t xml:space="preserve">The board may, by adoption of an administrative rule, adopt by reference another document produced by the board, the department, another agency of Iowa government, a federal agency, or any other organization. If any document or portion of any document is adopted by reference and is not already available in the state law library, the department shall provide a copy of the document for filing in the state law library, in compliance with Iowa Code section </w:t>
      </w:r>
      <w:hyperlink r:id="rId22">
        <w:r>
          <w:rPr>
            <w:rStyle w:val="Hyperlink"/>
            <w:rFonts w:ascii="Times New Roman" w:hAnsi="Times New Roman"/>
            <w:b w:val="false"/>
            <w:i w:val="false"/>
            <w:color w:val="000000"/>
            <w:sz w:val="22"/>
          </w:rPr>
          <w:t>17A.6, subsection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661—401.109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401.109(3)</w:t>
      </w:r>
      <w:r>
        <w:rPr>
          <w:rFonts w:ascii="Times New Roman" w:hAnsi="Times New Roman"/>
          <w:b w:val="false"/>
          <w:i w:val="false"/>
          <w:color w:val="000000"/>
          <w:sz w:val="22"/>
        </w:rPr>
        <w:t> </w:t>
      </w:r>
      <w:r>
        <w:rPr>
          <w:rFonts w:ascii="Times New Roman" w:hAnsi="Times New Roman"/>
          <w:b w:val="false"/>
          <w:i w:val="false"/>
          <w:color w:val="000000"/>
          <w:sz w:val="22"/>
        </w:rPr>
        <w:t>The board shall commence a rule-making proceeding within 60 days of its receipt of a petition for rule making seeking the amendment or repeal of a rule that differs from the proposed rule contained in the Notice of Intended Action upon which the rule is based, unless the board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661—401.110</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board shall issue a concise statement of reasons for the rule. Requests for such a statement must be in writing and be delivered to the Agency Rules Administrator, Department of Public Safety, State Public Safety Headquarters Building, 215 East 7th Street, Des Moines, Iowa 50319. The request should indicate whether the statement is sought for all or only a specified part of the rule. Requests will be considered made on the date received. After a proper request, the board shall issue a concise statement of reasons by the later of the time the rule is adopted or 35 days after receipt of the request. If the board does not meet during the time between the receipt of a request and the deadline for issuance of the concise statement, the staff may issue the concise statement with the approval of the board 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661—401.111</w:t>
      </w:r>
      <w:r>
        <w:rPr>
          <w:rFonts w:ascii="Times New Roman" w:hAnsi="Times New Roman"/>
          <w:b/>
          <w:i w:val="false"/>
          <w:color w:val="000000"/>
          <w:sz w:val="22"/>
        </w:rPr>
        <w:t xml:space="preserve">(17A,97A) </w:t>
      </w:r>
      <w:r>
        <w:rPr>
          <w:rFonts w:ascii="Times New Roman" w:hAnsi="Times New Roman"/>
          <w:b/>
          <w:i w:val="false"/>
          <w:color w:val="000000"/>
          <w:sz w:val="22"/>
        </w:rPr>
        <w:t xml:space="preserve">Agency rule-making record. </w:t>
      </w:r>
      <w:r>
        <w:rPr>
          <w:rFonts w:ascii="Times New Roman" w:hAnsi="Times New Roman"/>
          <w:b w:val="false"/>
          <w:i w:val="false"/>
          <w:color w:val="000000"/>
          <w:sz w:val="22"/>
        </w:rPr>
        <w:t>The department shall maintain an official rule-making record for each rule proposed by the board by publication in the Iowa Administrative Bulletin of a Notice of Intended Action, or adopts. The rule-making record and materials incorporated by reference shall be available for public inspection. Requests to view material from the rule-making record may be addressed to the agency rules administrator of the department.</w:t>
      </w:r>
    </w:p>
    <w:p>
      <w:pPr>
        <w:spacing w:before="0" w:after="0"/>
        <w:ind w:left="120"/>
        <w:jc w:val="both"/>
      </w:pPr>
      <w:r>
        <w:rPr>
          <w:rFonts w:ascii="Times New Roman" w:hAnsi="Times New Roman"/>
          <w:b/>
          <w:i w:val="false"/>
          <w:color w:val="000000"/>
          <w:sz w:val="22"/>
        </w:rPr>
        <w:t>661—401.112</w:t>
      </w:r>
      <w:r>
        <w:rPr>
          <w:rFonts w:ascii="Times New Roman" w:hAnsi="Times New Roman"/>
          <w:b/>
          <w:i w:val="false"/>
          <w:color w:val="000000"/>
          <w:sz w:val="22"/>
        </w:rPr>
        <w:t xml:space="preserve">(17A,97A) </w:t>
      </w:r>
      <w:r>
        <w:rPr>
          <w:rFonts w:ascii="Times New Roman" w:hAnsi="Times New Roman"/>
          <w:b/>
          <w:i w:val="false"/>
          <w:color w:val="000000"/>
          <w:sz w:val="22"/>
        </w:rPr>
        <w:t xml:space="preserve">Petitions for rule making. </w:t>
      </w:r>
      <w:r>
        <w:rPr>
          <w:rFonts w:ascii="Times New Roman" w:hAnsi="Times New Roman"/>
          <w:b w:val="false"/>
          <w:i w:val="false"/>
          <w:color w:val="000000"/>
          <w:sz w:val="22"/>
        </w:rPr>
        <w:t xml:space="preserve">Any person or agency may file a petition for rule making with the secretary at the location specified in </w:t>
      </w:r>
      <w:hyperlink r:id="rId23">
        <w:r>
          <w:rPr>
            <w:rStyle w:val="Hyperlink"/>
            <w:rFonts w:ascii="Times New Roman" w:hAnsi="Times New Roman"/>
            <w:b w:val="false"/>
            <w:i w:val="false"/>
            <w:color w:val="000000"/>
            <w:sz w:val="22"/>
          </w:rPr>
          <w:t>rule 661—400.6(97A)</w:t>
        </w:r>
      </w:hyperlink>
      <w:r>
        <w:rPr>
          <w:rFonts w:ascii="Times New Roman" w:hAnsi="Times New Roman"/>
          <w:b w:val="false"/>
          <w:i w:val="false"/>
          <w:color w:val="000000"/>
          <w:sz w:val="22"/>
        </w:rPr>
        <w:t>. A petition is deemed filed when it is received by the secretary. The secretary shall provide the petitioner with a file-stamped copy of the petition if the petitioner provides the agency an extra copy for this purpose. The secretary shall transmit a copy of the petition to the agency rules administrator. The petition must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PUBLIC SAFETY PEACE OFFICERS’</w:t>
            </w:r>
          </w:p>
          <w:p>
            <w:pPr>
              <w:spacing w:before="0" w:after="0"/>
              <w:ind w:left="160"/>
              <w:jc w:val="center"/>
            </w:pPr>
            <w:r>
              <w:rPr>
                <w:rFonts w:ascii="Times New Roman" w:hAnsi="Times New Roman"/>
                <w:b w:val="false"/>
                <w:i w:val="false"/>
                <w:color w:val="000000"/>
                <w:sz w:val="16"/>
              </w:rPr>
              <w:t>RETIREMENT, ACCIDENT, AND DISABILITY SYSTEM</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w:t>
            </w:r>
          </w:p>
          <w:p>
            <w:pPr>
              <w:spacing w:before="0" w:after="0"/>
              <w:ind w:left="160"/>
              <w:jc w:val="left"/>
            </w:pPr>
            <w:r>
              <w:rPr>
                <w:rFonts w:ascii="Times New Roman" w:hAnsi="Times New Roman"/>
                <w:b w:val="false"/>
                <w:i w:val="false"/>
                <w:color w:val="000000"/>
                <w:sz w:val="16"/>
              </w:rPr>
              <w:t>(adoption, amendment, or repeal) of rules</w:t>
            </w:r>
          </w:p>
          <w:p>
            <w:pPr>
              <w:spacing w:before="0" w:after="0"/>
              <w:ind w:left="160"/>
              <w:jc w:val="left"/>
            </w:pPr>
            <w:r>
              <w:rPr>
                <w:rFonts w:ascii="Times New Roman" w:hAnsi="Times New Roman"/>
                <w:b w:val="false"/>
                <w:i w:val="false"/>
                <w:color w:val="000000"/>
                <w:sz w:val="16"/>
              </w:rPr>
              <w:t>relating to (state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24">
        <w:r>
          <w:rPr>
            <w:rStyle w:val="Hyperlink"/>
            <w:rFonts w:ascii="Times New Roman" w:hAnsi="Times New Roman"/>
            <w:b w:val="false"/>
            <w:i w:val="false"/>
            <w:color w:val="000000"/>
            <w:sz w:val="22"/>
          </w:rPr>
          <w:t>subrule 401.112(5)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401.112(2)</w:t>
      </w:r>
      <w:r>
        <w:rPr>
          <w:rFonts w:ascii="Times New Roman" w:hAnsi="Times New Roman"/>
          <w:b w:val="false"/>
          <w:i w:val="false"/>
          <w:color w:val="000000"/>
          <w:sz w:val="22"/>
        </w:rPr>
        <w:t> </w:t>
      </w:r>
      <w:r>
        <w:rPr>
          <w:rFonts w:ascii="Times New Roman" w:hAnsi="Times New Roman"/>
          <w:b w:val="false"/>
          <w:i w:val="false"/>
          <w:color w:val="000000"/>
          <w:sz w:val="22"/>
        </w:rPr>
        <w:t>The board may deny a petition because it does not substantially conform to the required form. However, the board may consider any petition received, regardless of errors or variations in form, provided that the content of the request for rule making is clear or has been clarified through communication with the petitioner. Denial of a petition because it does not substantially conform to the required form does not preclude the filing of a new petition on the same subject that seeks to eliminate the grounds for the board’s rejection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401.112(3)</w:t>
      </w:r>
      <w:r>
        <w:rPr>
          <w:rFonts w:ascii="Times New Roman" w:hAnsi="Times New Roman"/>
          <w:b w:val="false"/>
          <w:i w:val="false"/>
          <w:color w:val="000000"/>
          <w:sz w:val="22"/>
        </w:rPr>
        <w:t>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401.112(4)</w:t>
      </w:r>
      <w:r>
        <w:rPr>
          <w:rFonts w:ascii="Times New Roman" w:hAnsi="Times New Roman"/>
          <w:b w:val="false"/>
          <w:i w:val="false"/>
          <w:color w:val="000000"/>
          <w:sz w:val="22"/>
        </w:rPr>
        <w:t> </w:t>
      </w:r>
      <w:r>
        <w:rPr>
          <w:rFonts w:ascii="Times New Roman" w:hAnsi="Times New Roman"/>
          <w:b w:val="false"/>
          <w:i w:val="false"/>
          <w:color w:val="000000"/>
          <w:sz w:val="22"/>
        </w:rPr>
        <w:t xml:space="preserve">Inquiries concerning the status of a petition for rule making may be made to the Agency Rules Administrator, Department of Public Safety, State Public Safety Headquarters Building, 215 East 7th Street, Des Moines, Iowa 50319, or via electronic mail at </w:t>
      </w:r>
      <w:r>
        <w:rPr>
          <w:rFonts w:ascii="Times New Roman" w:hAnsi="Times New Roman"/>
          <w:b w:val="false"/>
          <w:i w:val="false"/>
          <w:color w:val="000000"/>
          <w:sz w:val="22"/>
          <w:u w:val="single"/>
        </w:rPr>
        <w:t>admrule@dps.state.ia.us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401.112(5)</w:t>
      </w:r>
      <w:r>
        <w:rPr>
          <w:rFonts w:ascii="Times New Roman" w:hAnsi="Times New Roman"/>
          <w:b w:val="false"/>
          <w:i w:val="false"/>
          <w:color w:val="000000"/>
          <w:sz w:val="22"/>
        </w:rPr>
        <w:t> </w:t>
      </w:r>
      <w:r>
        <w:rPr>
          <w:rFonts w:ascii="Times New Roman" w:hAnsi="Times New Roman"/>
          <w:b w:val="false"/>
          <w:i w:val="false"/>
          <w:color w:val="000000"/>
          <w:sz w:val="22"/>
        </w:rPr>
        <w:t>Upon request by petitioner in the petition, the chair of the board may schedule a brief and informal meeting between the petitioner and the board, a member of the board, the secretary, or other staff of the department to discuss the petition. Such meeting shall include the agency rules administrator of the department or another employee of the department knowledgeable about the administrative rule-making process who is jointly designated by the agency rules administrator and the director of the administrative services division of the department. The board may request the petitioner to submit additional information or argument concerning the petition. The board may also solicit comments from any person on the substance of the petition.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401.112(6)</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board shall, in writing, deny the petition and notify petitioner of its action and the specific grounds for the denial or grant the petition and notify petitioner that it will institute rule-making proceedings on the subject of the petition. Notice shall be sent by the secretary to the petitioner by regular mail. Petitioner shall be deemed notified of the denial or granting of the petition on the date when the secretary mails the required notification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401.112(7)</w:t>
      </w:r>
      <w:r>
        <w:rPr>
          <w:rFonts w:ascii="Times New Roman" w:hAnsi="Times New Roman"/>
          <w:b w:val="false"/>
          <w:i w:val="false"/>
          <w:color w:val="000000"/>
          <w:sz w:val="22"/>
        </w:rPr>
        <w:t> </w:t>
      </w:r>
      <w:r>
        <w:rPr>
          <w:rFonts w:ascii="Times New Roman" w:hAnsi="Times New Roman"/>
          <w:b w:val="false"/>
          <w:i w:val="false"/>
          <w:color w:val="000000"/>
          <w:sz w:val="22"/>
        </w:rPr>
        <w:t xml:space="preserve">Inquiries concerning the status of a petition for rule making may be made to the Agency Rules Administrator, Department of Public Safety, State Public Safety Headquarters Building, 215 East 7th Street, Des Moines, Iowa 50319, or by electronic mail to </w:t>
      </w:r>
      <w:r>
        <w:rPr>
          <w:rFonts w:ascii="Times New Roman" w:hAnsi="Times New Roman"/>
          <w:b w:val="false"/>
          <w:i w:val="false"/>
          <w:color w:val="000000"/>
          <w:sz w:val="22"/>
          <w:u w:val="single"/>
        </w:rPr>
        <w:t>admrule@dps.state.ia.us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661—401.113</w:t>
      </w:r>
      <w:r>
        <w:rPr>
          <w:rFonts w:ascii="Times New Roman" w:hAnsi="Times New Roman"/>
          <w:b/>
          <w:i w:val="false"/>
          <w:color w:val="000000"/>
          <w:sz w:val="22"/>
        </w:rPr>
        <w:t xml:space="preserve">(17A,97A) </w:t>
      </w:r>
      <w:r>
        <w:rPr>
          <w:rFonts w:ascii="Times New Roman" w:hAnsi="Times New Roman"/>
          <w:b/>
          <w:i w:val="false"/>
          <w:color w:val="000000"/>
          <w:sz w:val="22"/>
        </w:rPr>
        <w:t xml:space="preserve">Waivers of rules. </w:t>
      </w:r>
      <w:r>
        <w:rPr>
          <w:rFonts w:ascii="Times New Roman" w:hAnsi="Times New Roman"/>
          <w:b w:val="false"/>
          <w:i w:val="false"/>
          <w:color w:val="000000"/>
          <w:sz w:val="22"/>
        </w:rPr>
        <w:t>This rule outlines generally applicable standards and a uniform process for the granting of individual waivers from rules adopted by the board. To the extent another more specific provision of law governs the issuance of a waiver from a particular rule, the more specific provision shall supersede this rule with respect to any waiver from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waivers. </w:t>
      </w:r>
      <w:r>
        <w:rPr>
          <w:rFonts w:ascii="Times New Roman" w:hAnsi="Times New Roman"/>
          <w:b w:val="false"/>
          <w:i w:val="false"/>
          <w:color w:val="000000"/>
          <w:sz w:val="22"/>
        </w:rPr>
        <w:t>Requests for waivers of rules shall be addressed to the secretary. A request shall state specifically what provisions are requested to be waived, a concise statement of the reasons for requesting the waiver, and any conditions proposed to be placed on the waiver, including conditions which would substitute for compliance with the provisions requested to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petition completed pursuant to this rule,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401.113(4)</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is deemed filed when it is received in the secretary’s office. A petition should be sent to the Board of Trustees, Peace Officers’ Retirement, Accident, and Disability System, Attention: Secretary of the Board, State Public Safety Headquarters Building, 215 East 7th Street, Des Moines, Iowa 50319-0050.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401.113(5)</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electronic mail address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w:t>
      </w:r>
      <w:hyperlink r:id="rId25">
        <w:r>
          <w:rPr>
            <w:rStyle w:val="Hyperlink"/>
            <w:rFonts w:ascii="Times New Roman" w:hAnsi="Times New Roman"/>
            <w:b w:val="false"/>
            <w:i w:val="false"/>
            <w:color w:val="000000"/>
            <w:sz w:val="22"/>
          </w:rPr>
          <w:t>subrule 401.113(3)</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benefits or potential benefits or eligibility requirements affected by the proposed waiver, including a description of each affected benefit or eligibility requirement held or requested by the requester, any formal charges filed, notices of violation, contested case hearings, or investigations relating to the membership in the system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board’s action in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 This does not create any duty to individually notify other members of the system, unless they are known to have requested or received a waiver of the identical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a representative or representatives of the board related to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secretary shall acknowledge a petition upon receipt and shall notify the members of the board, the legal counsel to the board and the agency rules administrator of the department of the receipt of the petition as soon as practical after its receipt. The board shall ensure that, within 30 days of the receipt of the petition, notice of the pending petition and a concise summary of its contents have been provided to all persons to whom notice is required by any provision of law, including the petitioner. In addition, the board may give notice to any other person.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401.113(8)</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26">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board proceedings for a waiver only when the board so provides by order or is required to do so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impractical.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practical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or delivered to the petitioner or the person to whom the order pertains, and to any other person entitled to such notice by any provision of law. A copy of the order shall be provided to the agency rules administrator of the department to facilitate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401.113(10)</w:t>
      </w:r>
      <w:r>
        <w:rPr>
          <w:rFonts w:ascii="Times New Roman" w:hAnsi="Times New Roman"/>
          <w:b w:val="false"/>
          <w:i w:val="false"/>
          <w:color w:val="000000"/>
          <w:sz w:val="22"/>
        </w:rPr>
        <w:t> </w:t>
      </w:r>
      <w:r>
        <w:rPr>
          <w:rFonts w:ascii="Times New Roman" w:hAnsi="Times New Roman"/>
          <w:b w:val="false"/>
          <w:i/>
          <w:color w:val="000000"/>
          <w:sz w:val="22"/>
        </w:rPr>
        <w:t xml:space="preserve">Indexing.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2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If petitions or orders may contain information the board is authorized or required to keep confidential, the board may instruct the secretary to accordingly redact confidential information from petitions or orders prior to public inspection. Rules for which a petition for a waiver have been granted or denied are posted on the department’s website and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401.113(11)</w:t>
      </w:r>
      <w:r>
        <w:rPr>
          <w:rFonts w:ascii="Times New Roman" w:hAnsi="Times New Roman"/>
          <w:b w:val="false"/>
          <w:i w:val="false"/>
          <w:color w:val="000000"/>
          <w:sz w:val="22"/>
        </w:rPr>
        <w:t> </w:t>
      </w:r>
      <w:r>
        <w:rPr>
          <w:rFonts w:ascii="Times New Roman" w:hAnsi="Times New Roman"/>
          <w:b w:val="false"/>
          <w:i/>
          <w:color w:val="000000"/>
          <w:sz w:val="22"/>
        </w:rPr>
        <w:t xml:space="preserve">Summary reports. </w:t>
      </w:r>
      <w:r>
        <w:rPr>
          <w:rFonts w:ascii="Times New Roman" w:hAnsi="Times New Roman"/>
          <w:b w:val="false"/>
          <w:i w:val="false"/>
          <w:color w:val="000000"/>
          <w:sz w:val="22"/>
        </w:rPr>
        <w:t>When the department grants a waiver, the department shall submit the required information on the department’s website within 60 days. The department’s website shall identify the rules for which a waiver has been granted or denied, the number of times a waiver was granted or denied for each rule, a citation to the statutory provisions implemented by these rules, and a general summary of the reasons justifying the board’s actions on waiver requests. To the extent practicable, the department shall include information detailing the extent to which the granting of waiver has established a precedent for additional waivers and the extent to which the granting of a waiver has affected the general applicability of the rule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401.113(16)</w:t>
      </w:r>
      <w:r>
        <w:rPr>
          <w:rFonts w:ascii="Times New Roman" w:hAnsi="Times New Roman"/>
          <w:b w:val="false"/>
          <w:i w:val="false"/>
          <w:color w:val="000000"/>
          <w:sz w:val="22"/>
        </w:rPr>
        <w:t> </w:t>
      </w:r>
      <w:r>
        <w:rPr>
          <w:rFonts w:ascii="Times New Roman" w:hAnsi="Times New Roman"/>
          <w:b w:val="false"/>
          <w:i/>
          <w:color w:val="000000"/>
          <w:sz w:val="22"/>
        </w:rPr>
        <w:t xml:space="preserve">Sample petition for waiver. </w:t>
      </w:r>
      <w:r>
        <w:rPr>
          <w:rFonts w:ascii="Times New Roman" w:hAnsi="Times New Roman"/>
          <w:b w:val="false"/>
          <w:i w:val="false"/>
          <w:color w:val="000000"/>
          <w:sz w:val="22"/>
        </w:rPr>
        <w:t>A petition for waiver filed in accordance with this rule must meet the requirements specified herein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PUBLIC SAFETY PEACE OFFICERS’</w:t>
            </w:r>
          </w:p>
          <w:p>
            <w:pPr>
              <w:spacing w:before="0" w:after="0"/>
              <w:ind w:left="160"/>
              <w:jc w:val="center"/>
            </w:pPr>
            <w:r>
              <w:rPr>
                <w:rFonts w:ascii="Times New Roman" w:hAnsi="Times New Roman"/>
                <w:b w:val="false"/>
                <w:i w:val="false"/>
                <w:color w:val="000000"/>
                <w:sz w:val="16"/>
              </w:rPr>
              <w:t>RETIREMENT, ACCIDENT, AND DISABILITY SYSTEM</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 xml:space="preserve">Petition by (name of petitioner) for the </w:t>
            </w:r>
          </w:p>
          <w:p>
            <w:pPr>
              <w:spacing w:before="0" w:after="0"/>
              <w:ind w:left="160"/>
              <w:jc w:val="left"/>
            </w:pPr>
            <w:r>
              <w:rPr>
                <w:rFonts w:ascii="Times New Roman" w:hAnsi="Times New Roman"/>
                <w:b w:val="false"/>
                <w:i w:val="false"/>
                <w:color w:val="000000"/>
                <w:sz w:val="16"/>
              </w:rPr>
              <w:t>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name, address, and telephone number of the petitioner (person asking for a waiver). Also provide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time period for which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that the petitioner believes justify a waiver. Include in the answer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application of the rule would result in undue hardship to the petitioner;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waiver of the rule would not prejudice the substantial legal rights of any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a history of any prior contacts between the board, other departments or agencies of the state of Iowa, or political subdivisions and petitioner relating to the benefits or rights affected by the requested waiver. Include a description of each contested case hearing held, or any investigations related to the benefits or rights.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board’s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Provide signed releases of information authorizing persons with knowledge regarding the request to furnish the board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(Petitioner’s Signature)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i w:val="false"/>
          <w:color w:val="000000"/>
          <w:sz w:val="16"/>
        </w:rPr>
        <w:t>ARC 5975C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661—401.114</w:t>
      </w:r>
      <w:r>
        <w:rPr>
          <w:rFonts w:ascii="Times New Roman" w:hAnsi="Times New Roman"/>
          <w:b w:val="false"/>
          <w:i w:val="false"/>
          <w:color w:val="000000"/>
          <w:sz w:val="22"/>
        </w:rPr>
        <w:t xml:space="preserve"> to </w:t>
      </w:r>
      <w:r>
        <w:rPr>
          <w:rFonts w:ascii="Times New Roman" w:hAnsi="Times New Roman"/>
          <w:b/>
          <w:i w:val="false"/>
          <w:color w:val="000000"/>
          <w:sz w:val="22"/>
        </w:rPr>
        <w:t>401.200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DECLARATORY ORDERS</w:t>
      </w:r>
    </w:p>
    <w:p>
      <w:pPr>
        <w:spacing w:before="0" w:after="0"/>
        <w:ind w:left="120"/>
        <w:jc w:val="both"/>
      </w:pPr>
      <w:r>
        <w:rPr>
          <w:rFonts w:ascii="Times New Roman" w:hAnsi="Times New Roman"/>
          <w:b/>
          <w:i w:val="false"/>
          <w:color w:val="000000"/>
          <w:sz w:val="22"/>
        </w:rPr>
        <w:t>661—401.201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with the secretary a petition to the board for a declaratory order as to the applicability to specified circumstances of a statute, rule, or order within the primary jurisdiction of the board. A petition is deemed filed when it is received by that office. The secretary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PUBLIC SAFETY PEACE OFFICERS’</w:t>
            </w:r>
          </w:p>
          <w:p>
            <w:pPr>
              <w:spacing w:before="0" w:after="0"/>
              <w:ind w:left="160"/>
              <w:jc w:val="center"/>
            </w:pPr>
            <w:r>
              <w:rPr>
                <w:rFonts w:ascii="Times New Roman" w:hAnsi="Times New Roman"/>
                <w:b w:val="false"/>
                <w:i w:val="false"/>
                <w:color w:val="000000"/>
                <w:sz w:val="16"/>
              </w:rPr>
              <w:t>RETIREMENT, ACCIDENT, AND DISABILITY SYSTEM</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a</w:t>
            </w:r>
          </w:p>
          <w:p>
            <w:pPr>
              <w:spacing w:before="0" w:after="0"/>
              <w:ind w:left="160"/>
              <w:jc w:val="left"/>
            </w:pPr>
            <w:r>
              <w:rPr>
                <w:rFonts w:ascii="Times New Roman" w:hAnsi="Times New Roman"/>
                <w:b w:val="false"/>
                <w:i w:val="false"/>
                <w:color w:val="000000"/>
                <w:sz w:val="16"/>
              </w:rPr>
              <w:t>Declaratory Order on (Cite provisions of</w:t>
            </w:r>
          </w:p>
          <w:p>
            <w:pPr>
              <w:spacing w:before="0" w:after="0"/>
              <w:ind w:left="160"/>
              <w:jc w:val="left"/>
            </w:pPr>
            <w:r>
              <w:rPr>
                <w:rFonts w:ascii="Times New Roman" w:hAnsi="Times New Roman"/>
                <w:b w:val="false"/>
                <w:i w:val="false"/>
                <w:color w:val="000000"/>
                <w:sz w:val="16"/>
              </w:rPr>
              <w:t>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30">
        <w:r>
          <w:rPr>
            <w:rStyle w:val="Hyperlink"/>
            <w:rFonts w:ascii="Times New Roman" w:hAnsi="Times New Roman"/>
            <w:b w:val="false"/>
            <w:i w:val="false"/>
            <w:color w:val="000000"/>
            <w:sz w:val="22"/>
          </w:rPr>
          <w:t>rule 661—401.207(17A)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661—401.202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department shall give notice of the petition to all persons not served by the petitioner pursuant to </w:t>
      </w:r>
      <w:hyperlink r:id="rId31">
        <w:r>
          <w:rPr>
            <w:rStyle w:val="Hyperlink"/>
            <w:rFonts w:ascii="Times New Roman" w:hAnsi="Times New Roman"/>
            <w:b w:val="false"/>
            <w:i w:val="false"/>
            <w:color w:val="000000"/>
            <w:sz w:val="22"/>
          </w:rPr>
          <w:t>rule 661—401.206(17A)</w:t>
        </w:r>
      </w:hyperlink>
      <w:r>
        <w:rPr>
          <w:rFonts w:ascii="Times New Roman" w:hAnsi="Times New Roman"/>
          <w:b w:val="false"/>
          <w:i w:val="false"/>
          <w:color w:val="000000"/>
          <w:sz w:val="22"/>
        </w:rPr>
        <w:t xml:space="preserve"> to whom notice is required by any provision of law. The department may also give notice to any other persons.</w:t>
      </w:r>
    </w:p>
    <w:p>
      <w:pPr>
        <w:spacing w:before="0" w:after="0"/>
        <w:ind w:left="120"/>
        <w:jc w:val="both"/>
      </w:pPr>
      <w:r>
        <w:rPr>
          <w:rFonts w:ascii="Times New Roman" w:hAnsi="Times New Roman"/>
          <w:b/>
          <w:i w:val="false"/>
          <w:color w:val="000000"/>
          <w:sz w:val="22"/>
        </w:rPr>
        <w:t>661—401.203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401.203(1)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qualifies under any applicable provision of law as an intervenor and who files a petition for intervention within 20 days of the filing of a petition for declaratory order (after time for notice under </w:t>
      </w:r>
      <w:hyperlink r:id="rId32">
        <w:r>
          <w:rPr>
            <w:rStyle w:val="Hyperlink"/>
            <w:rFonts w:ascii="Times New Roman" w:hAnsi="Times New Roman"/>
            <w:b w:val="false"/>
            <w:i w:val="false"/>
            <w:color w:val="000000"/>
            <w:sz w:val="22"/>
          </w:rPr>
          <w:t>rule 661—401.202(17A)</w:t>
        </w:r>
      </w:hyperlink>
      <w:r>
        <w:rPr>
          <w:rFonts w:ascii="Times New Roman" w:hAnsi="Times New Roman"/>
          <w:b w:val="false"/>
          <w:i w:val="false"/>
          <w:color w:val="000000"/>
          <w:sz w:val="22"/>
        </w:rPr>
        <w:t xml:space="preserve"> and before 30-day time for agency action under </w:t>
      </w:r>
      <w:hyperlink r:id="rId33">
        <w:r>
          <w:rPr>
            <w:rStyle w:val="Hyperlink"/>
            <w:rFonts w:ascii="Times New Roman" w:hAnsi="Times New Roman"/>
            <w:b w:val="false"/>
            <w:i w:val="false"/>
            <w:color w:val="000000"/>
            <w:sz w:val="22"/>
          </w:rPr>
          <w:t>rule 661—401.208(17A)</w:t>
        </w:r>
      </w:hyperlink>
      <w:r>
        <w:rPr>
          <w:rFonts w:ascii="Times New Roman" w:hAnsi="Times New Roman"/>
          <w:b w:val="false"/>
          <w:i w:val="false"/>
          <w:color w:val="000000"/>
          <w:sz w:val="22"/>
        </w:rPr>
        <w:t>)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secretary. Such a petition is deemed filed when it is received by the secretary. The department shall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PUBLIC SAFETY PEACE OFFICERS’</w:t>
            </w:r>
          </w:p>
          <w:p>
            <w:pPr>
              <w:spacing w:before="0" w:after="0"/>
              <w:ind w:left="160"/>
              <w:jc w:val="center"/>
            </w:pPr>
            <w:r>
              <w:rPr>
                <w:rFonts w:ascii="Times New Roman" w:hAnsi="Times New Roman"/>
                <w:b w:val="false"/>
                <w:i w:val="false"/>
                <w:color w:val="000000"/>
                <w:sz w:val="16"/>
              </w:rPr>
              <w:t>RETIREMENT, ACCIDENT, AND DISABILITY SYSTEM</w:t>
            </w:r>
          </w:p>
        </w:tc>
      </w:tr>
      <w:tr>
        <w:trPr>
          <w:trHeight w:val="85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(Name of Original Petitioner) for a Declaratory Order on (Cite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661—401.204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661—401.205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secretary.</w:t>
      </w:r>
    </w:p>
    <w:p>
      <w:pPr>
        <w:spacing w:before="0" w:after="0"/>
        <w:ind w:left="120"/>
        <w:jc w:val="both"/>
      </w:pPr>
      <w:r>
        <w:rPr>
          <w:rFonts w:ascii="Times New Roman" w:hAnsi="Times New Roman"/>
          <w:b/>
          <w:i w:val="false"/>
          <w:color w:val="000000"/>
          <w:sz w:val="22"/>
        </w:rPr>
        <w:t>661—401.206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secretary. All petitions, briefs, or other papers that are required to be served upon a party shall be filed simultaneously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34">
        <w:r>
          <w:rPr>
            <w:rStyle w:val="Hyperlink"/>
            <w:rFonts w:ascii="Times New Roman" w:hAnsi="Times New Roman"/>
            <w:b w:val="false"/>
            <w:i w:val="false"/>
            <w:color w:val="000000"/>
            <w:sz w:val="22"/>
          </w:rPr>
          <w:t>subrule 401.301(7)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661—401.207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may schedule a brief and informal meeting between the original petitioner, all intervenors, and the board, a member of the board, or a member of the staff of the department to discuss the questions raised. The board may solicit comments from any person on the questions raised. Also, comments on the questions raised may be submitted to the board by any person.</w:t>
      </w:r>
    </w:p>
    <w:p>
      <w:pPr>
        <w:spacing w:before="0" w:after="0"/>
        <w:ind w:left="120"/>
        <w:jc w:val="both"/>
      </w:pPr>
      <w:r>
        <w:rPr>
          <w:rFonts w:ascii="Times New Roman" w:hAnsi="Times New Roman"/>
          <w:b/>
          <w:i w:val="false"/>
          <w:color w:val="000000"/>
          <w:sz w:val="22"/>
        </w:rPr>
        <w:t>661—401.208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35">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commissioner of public safety or the commissioner’s designee shall take action on the petition as required by Iowa Code section </w:t>
      </w:r>
      <w:hyperlink r:id="rId36">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a decision or order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661—401.209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37">
        <w:r>
          <w:rPr>
            <w:rStyle w:val="Hyperlink"/>
            <w:rFonts w:ascii="Times New Roman" w:hAnsi="Times New Roman"/>
            <w:b w:val="false"/>
            <w:i w:val="false"/>
            <w:color w:val="000000"/>
            <w:sz w:val="22"/>
          </w:rPr>
          <w:t>17A.9, subsection 1</w:t>
        </w:r>
      </w:hyperlink>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petition relates to any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petition concerns any procedure or practice of the board or any other agency related to initiation or conduct of criminal investigations or referral of matters for possible criminal investigation 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petition states facts and circumstances which are theoretical in nature to the extent that issuance of a declaratory order is unlikely to assist in guiding future conduct or the petitioner is neither a person with interest in the operation of the system nor a representative of such a person. “Representative of such a person” includes any organization with members or participants who are active or retired members of the system, or family members or survivors of active or retired members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shall indicate the specific grounds for the refusal, unless the refusal pertains to a matter under criminal investigation, or which has been referred for possible criminal prosecution, in which event no information which might compromise the investigation or prosecution shall be released to the petitioner or any intervenor. A refusal to issue a declaratory order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661—401.210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661—401.211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each original petitioner and to each intervenor.</w:t>
      </w:r>
    </w:p>
    <w:p>
      <w:pPr>
        <w:spacing w:before="210" w:after="0"/>
        <w:ind w:left="120"/>
        <w:jc w:val="both"/>
      </w:pPr>
      <w:r>
        <w:rPr>
          <w:rFonts w:ascii="Times New Roman" w:hAnsi="Times New Roman"/>
          <w:b/>
          <w:i w:val="false"/>
          <w:color w:val="000000"/>
          <w:sz w:val="22"/>
        </w:rPr>
        <w:t>661—401.212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agency action on the petition.</w:t>
      </w:r>
    </w:p>
    <w:p>
      <w:pPr>
        <w:spacing w:before="210" w:after="0"/>
        <w:ind w:left="120"/>
        <w:jc w:val="both"/>
      </w:pPr>
      <w:r>
        <w:rPr>
          <w:rFonts w:ascii="Times New Roman" w:hAnsi="Times New Roman"/>
          <w:b/>
          <w:i w:val="false"/>
          <w:color w:val="000000"/>
          <w:sz w:val="22"/>
        </w:rPr>
        <w:t>661—401.213</w:t>
      </w:r>
      <w:r>
        <w:rPr>
          <w:rFonts w:ascii="Times New Roman" w:hAnsi="Times New Roman"/>
          <w:b w:val="false"/>
          <w:i w:val="false"/>
          <w:color w:val="000000"/>
          <w:sz w:val="22"/>
        </w:rPr>
        <w:t xml:space="preserve"> to </w:t>
      </w:r>
      <w:r>
        <w:rPr>
          <w:rFonts w:ascii="Times New Roman" w:hAnsi="Times New Roman"/>
          <w:b/>
          <w:i w:val="false"/>
          <w:color w:val="000000"/>
          <w:sz w:val="22"/>
        </w:rPr>
        <w:t>401.300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CONTESTED CASES</w:t>
      </w:r>
    </w:p>
    <w:p>
      <w:pPr>
        <w:spacing w:before="0" w:after="0"/>
        <w:ind w:left="120"/>
        <w:jc w:val="both"/>
      </w:pPr>
      <w:r>
        <w:rPr>
          <w:rFonts w:ascii="Times New Roman" w:hAnsi="Times New Roman"/>
          <w:b/>
          <w:i w:val="false"/>
          <w:color w:val="000000"/>
          <w:sz w:val="22"/>
        </w:rPr>
        <w:t>661—401.301</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proceeding. </w:t>
      </w:r>
      <w:r>
        <w:rPr>
          <w:rFonts w:ascii="Times New Roman" w:hAnsi="Times New Roman"/>
          <w:b w:val="false"/>
          <w:i w:val="false"/>
          <w:color w:val="000000"/>
          <w:sz w:val="22"/>
        </w:rPr>
        <w:t xml:space="preserve">Consideration of an appeal of a decision of the board shall be a contested case proceeding subject to the provisions of Iowa Code chapter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401.301(1)</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Delivery of the notice of hearing by the secretary constitutes the commencement of a contested case proceeding. Delivery may be executed by regular mail. The notice shall be delivered to the applicant, the applicant’s attorney if known, and the assistant attorney general designated to represent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401.301(2)</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statement that it is the applicant’s burden to prove each of the statutory elements relative to the application. The notice shall also contain a reference to the applicable statute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401.301(3)</w:t>
      </w:r>
      <w:r>
        <w:rPr>
          <w:rFonts w:ascii="Times New Roman" w:hAnsi="Times New Roman"/>
          <w:b w:val="false"/>
          <w:i w:val="false"/>
          <w:color w:val="000000"/>
          <w:sz w:val="22"/>
        </w:rPr>
        <w:t> </w:t>
      </w:r>
      <w:r>
        <w:rPr>
          <w:rFonts w:ascii="Times New Roman" w:hAnsi="Times New Roman"/>
          <w:b w:val="false"/>
          <w:i/>
          <w:color w:val="000000"/>
          <w:sz w:val="22"/>
        </w:rPr>
        <w:t xml:space="preserve">Scope of issues. </w:t>
      </w:r>
      <w:r>
        <w:rPr>
          <w:rFonts w:ascii="Times New Roman" w:hAnsi="Times New Roman"/>
          <w:b w:val="false"/>
          <w:i w:val="false"/>
          <w:color w:val="000000"/>
          <w:sz w:val="22"/>
        </w:rPr>
        <w:t>The applicant shall prove each of the statutory elements required before the application may be granted. Denial of an application shall be upheld based on the applicant’s failure to prove any of the statutory elements. When an applicant has requested accidental disability benefits, the board has the option of denying accidental disability benefits, but granting ordinary disability benefits based on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401.301(4)</w:t>
      </w:r>
      <w:r>
        <w:rPr>
          <w:rFonts w:ascii="Times New Roman" w:hAnsi="Times New Roman"/>
          <w:b w:val="false"/>
          <w:i w:val="false"/>
          <w:color w:val="000000"/>
          <w:sz w:val="22"/>
        </w:rPr>
        <w:t> </w:t>
      </w:r>
      <w:r>
        <w:rPr>
          <w:rFonts w:ascii="Times New Roman" w:hAnsi="Times New Roman"/>
          <w:b w:val="false"/>
          <w:i/>
          <w:color w:val="000000"/>
          <w:sz w:val="22"/>
        </w:rPr>
        <w:t xml:space="preserve">Legal representation. </w:t>
      </w:r>
      <w:r>
        <w:rPr>
          <w:rFonts w:ascii="Times New Roman" w:hAnsi="Times New Roman"/>
          <w:b w:val="false"/>
          <w:i w:val="false"/>
          <w:color w:val="000000"/>
          <w:sz w:val="22"/>
        </w:rPr>
        <w:t>Following the filing of the notice of hearing, the office of the attorney general shall be responsible for the legal representation of the public interest in all proceedings before the board. The public interest, as referenced in this rule, shall include the responsibility to protect the assets of the system from applications that do not meet the standards set by the statute for disability benefits. Any private party to a contested case shall be entitled to legal representation at the discretion and expense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401.301(5)</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presiding officer in a contested case shall be an administrative law judge assigned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401.301(6)</w:t>
      </w:r>
      <w:r>
        <w:rPr>
          <w:rFonts w:ascii="Times New Roman" w:hAnsi="Times New Roman"/>
          <w:b w:val="false"/>
          <w:i w:val="false"/>
          <w:color w:val="000000"/>
          <w:sz w:val="22"/>
        </w:rPr>
        <w:t> </w:t>
      </w:r>
      <w:r>
        <w:rPr>
          <w:rFonts w:ascii="Times New Roman" w:hAnsi="Times New Roman"/>
          <w:b w:val="false"/>
          <w:i/>
          <w:color w:val="000000"/>
          <w:sz w:val="22"/>
        </w:rPr>
        <w:t xml:space="preserve">Procedural matters. </w:t>
      </w:r>
      <w:r>
        <w:rPr>
          <w:rFonts w:ascii="Times New Roman" w:hAnsi="Times New Roman"/>
          <w:b w:val="false"/>
          <w:i w:val="false"/>
          <w:color w:val="000000"/>
          <w:sz w:val="22"/>
        </w:rPr>
        <w:t>Procedural matters and motions, including, but not limited to, motions to continue, may be heard and ruled upon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401.301(7)</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attorney for the state or the agency, simultaneously with their filing. Except for the original notice of hearing and an application for rehearing as provided in Iowa Code section </w:t>
      </w:r>
      <w:hyperlink r:id="rId39">
        <w:r>
          <w:rPr>
            <w:rStyle w:val="Hyperlink"/>
            <w:rFonts w:ascii="Times New Roman" w:hAnsi="Times New Roman"/>
            <w:b w:val="false"/>
            <w:i w:val="false"/>
            <w:color w:val="000000"/>
            <w:sz w:val="22"/>
          </w:rPr>
          <w:t>17A.16, subsection 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secretary. All documents that are required to be served upon a party shall be filed simultaneously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secretary at the location set forth in </w:t>
      </w:r>
      <w:hyperlink r:id="rId40">
        <w:r>
          <w:rPr>
            <w:rStyle w:val="Hyperlink"/>
            <w:rFonts w:ascii="Times New Roman" w:hAnsi="Times New Roman"/>
            <w:b w:val="false"/>
            <w:i w:val="false"/>
            <w:color w:val="000000"/>
            <w:sz w:val="22"/>
          </w:rPr>
          <w:t>rule 661—400.6(97A)</w:t>
        </w:r>
      </w:hyperlink>
      <w:r>
        <w:rPr>
          <w:rFonts w:ascii="Times New Roman" w:hAnsi="Times New Roman"/>
          <w:b w:val="false"/>
          <w:i w:val="false"/>
          <w:color w:val="000000"/>
          <w:sz w:val="22"/>
        </w:rPr>
        <w:t>,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Secretary of the Board of Trustees, Iowa Department of Public Safety, Peace Officers’ Retirement System, State Public Safety Headquarters Building, 215 East 7th Street,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661—401.302</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401.302(1)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401.302(2)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661—401.303</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42">
        <w:r>
          <w:rPr>
            <w:rStyle w:val="Hyperlink"/>
            <w:rFonts w:ascii="Times New Roman" w:hAnsi="Times New Roman"/>
            <w:b w:val="false"/>
            <w:i w:val="false"/>
            <w:color w:val="000000"/>
            <w:sz w:val="22"/>
          </w:rPr>
          <w:t>17A.13, subsection 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which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401.303(1)</w:t>
      </w:r>
      <w:r>
        <w:rPr>
          <w:rFonts w:ascii="Times New Roman" w:hAnsi="Times New Roman"/>
          <w:b w:val="false"/>
          <w:i w:val="false"/>
          <w:color w:val="000000"/>
          <w:sz w:val="22"/>
        </w:rPr>
        <w:t> </w:t>
      </w:r>
      <w:r>
        <w:rPr>
          <w:rFonts w:ascii="Times New Roman" w:hAnsi="Times New Roman"/>
          <w:b w:val="false"/>
          <w:i w:val="false"/>
          <w:color w:val="000000"/>
          <w:sz w:val="22"/>
        </w:rPr>
        <w:t>The board chair shall, upon the written request of the applicant or the state, issue a subpoena to compel the attendance of witnesses or to obtain evidence which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board administrator or designee shall mail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board’s secretary,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401.303(8)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member whose application for benefits is the subject of the contested case, the board’s decision is final for purposes of judicial review. If the person contesting the subpoena is the member whose application for benefits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i w:val="false"/>
          <w:color w:val="000000"/>
          <w:sz w:val="22"/>
        </w:rPr>
        <w:t>661—401.304</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401.304(1)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401.304(2)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401.304(4)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401.304(5)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43">
        <w:r>
          <w:rPr>
            <w:rStyle w:val="Hyperlink"/>
            <w:rFonts w:ascii="Times New Roman" w:hAnsi="Times New Roman"/>
            <w:b w:val="false"/>
            <w:i w:val="false"/>
            <w:color w:val="000000"/>
            <w:sz w:val="22"/>
          </w:rPr>
          <w:t>rule 661—401.314(17A)</w:t>
        </w:r>
      </w:hyperlink>
      <w:r>
        <w:rPr>
          <w:rFonts w:ascii="Times New Roman" w:hAnsi="Times New Roman"/>
          <w:b w:val="false"/>
          <w:i w:val="false"/>
          <w:color w:val="000000"/>
          <w:sz w:val="22"/>
        </w:rPr>
        <w:t xml:space="preserve"> and appeal pursuant to </w:t>
      </w:r>
      <w:hyperlink r:id="rId44">
        <w:r>
          <w:rPr>
            <w:rStyle w:val="Hyperlink"/>
            <w:rFonts w:ascii="Times New Roman" w:hAnsi="Times New Roman"/>
            <w:b w:val="false"/>
            <w:i w:val="false"/>
            <w:color w:val="000000"/>
            <w:sz w:val="22"/>
          </w:rPr>
          <w:t>subrule 401.312(2)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661—401.305</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the assistant attorney general appointed to represent the public interest or by the applicant. The board shall not be involved in negotiation until a written proposed settlement is submitted for approval, unless both parties waive this prohibition.</w:t>
      </w:r>
    </w:p>
    <w:p>
      <w:pPr>
        <w:spacing w:before="0" w:after="0"/>
        <w:ind w:left="120"/>
        <w:jc w:val="both"/>
      </w:pPr>
      <w:r>
        <w:rPr>
          <w:rFonts w:ascii="Times New Roman" w:hAnsi="Times New Roman"/>
          <w:b/>
          <w:i w:val="false"/>
          <w:color w:val="000000"/>
          <w:sz w:val="22"/>
        </w:rPr>
        <w:t>661—401.306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45">
        <w:r>
          <w:rPr>
            <w:rStyle w:val="Hyperlink"/>
            <w:rFonts w:ascii="Times New Roman" w:hAnsi="Times New Roman"/>
            <w:b w:val="false"/>
            <w:i w:val="false"/>
            <w:color w:val="000000"/>
            <w:sz w:val="22"/>
          </w:rPr>
          <w:t>subrule 401.306(2)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661—401.307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661—401.308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shall be with prejudice.</w:t>
      </w:r>
    </w:p>
    <w:p>
      <w:pPr>
        <w:spacing w:before="0" w:after="0"/>
        <w:ind w:left="120"/>
        <w:jc w:val="both"/>
      </w:pPr>
      <w:r>
        <w:rPr>
          <w:rFonts w:ascii="Times New Roman" w:hAnsi="Times New Roman"/>
          <w:b/>
          <w:i w:val="false"/>
          <w:color w:val="000000"/>
          <w:sz w:val="22"/>
        </w:rPr>
        <w:t>661—401.309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401.309(9)</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secretary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401.309(11)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w:t>
      </w:r>
      <w:hyperlink r:id="rId46">
        <w:r>
          <w:rPr>
            <w:rStyle w:val="Hyperlink"/>
            <w:rFonts w:ascii="Times New Roman" w:hAnsi="Times New Roman"/>
            <w:b w:val="false"/>
            <w:i w:val="false"/>
            <w:color w:val="000000"/>
            <w:sz w:val="22"/>
          </w:rPr>
          <w:t>subrule 401.312(2)</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i w:val="false"/>
          <w:color w:val="000000"/>
          <w:sz w:val="22"/>
        </w:rPr>
        <w:t>661—401.310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in the proceeding shall be confined to the contested issues as provided in Iowa Code section </w:t>
      </w:r>
      <w:hyperlink r:id="rId47">
        <w:r>
          <w:rPr>
            <w:rStyle w:val="Hyperlink"/>
            <w:rFonts w:ascii="Times New Roman" w:hAnsi="Times New Roman"/>
            <w:b w:val="false"/>
            <w:i w:val="false"/>
            <w:color w:val="000000"/>
            <w:sz w:val="22"/>
          </w:rPr>
          <w:t>97A.6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661—401.311</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including the secretary,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401.311(6)</w:t>
      </w:r>
      <w:r>
        <w:rPr>
          <w:rFonts w:ascii="Times New Roman" w:hAnsi="Times New Roman"/>
          <w:b w:val="false"/>
          <w:i w:val="false"/>
          <w:color w:val="000000"/>
          <w:sz w:val="22"/>
        </w:rPr>
        <w:t> </w:t>
      </w:r>
      <w:r>
        <w:rPr>
          <w:rFonts w:ascii="Times New Roman" w:hAnsi="Times New Roman"/>
          <w:b w:val="false"/>
          <w:i w:val="false"/>
          <w:color w:val="000000"/>
          <w:sz w:val="22"/>
        </w:rPr>
        <w:t>The secretary may be present in deliberations or otherwise advise the presiding officer without notice or opportunity for parties to participate as long as the secretary is not disqualified from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8">
        <w:r>
          <w:rPr>
            <w:rStyle w:val="Hyperlink"/>
            <w:rFonts w:ascii="Times New Roman" w:hAnsi="Times New Roman"/>
            <w:b w:val="false"/>
            <w:i w:val="false"/>
            <w:color w:val="000000"/>
            <w:sz w:val="22"/>
          </w:rPr>
          <w:t>17A.13, subsection 2</w:t>
        </w:r>
      </w:hyperlink>
      <w:r>
        <w:rPr>
          <w:rFonts w:ascii="Times New Roman" w:hAnsi="Times New Roman"/>
          <w:b w:val="false"/>
          <w:i w:val="false"/>
          <w:color w:val="000000"/>
          <w:sz w:val="22"/>
        </w:rPr>
        <w:t>,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401.311(10)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director of the administrative services division of the department.</w:t>
      </w:r>
    </w:p>
    <w:p>
      <w:pPr>
        <w:spacing w:before="0" w:after="0"/>
        <w:ind w:left="120"/>
        <w:jc w:val="both"/>
      </w:pPr>
      <w:r>
        <w:rPr>
          <w:rFonts w:ascii="Times New Roman" w:hAnsi="Times New Roman"/>
          <w:b/>
          <w:i w:val="false"/>
          <w:color w:val="000000"/>
          <w:sz w:val="22"/>
        </w:rPr>
        <w:t>661—401.312</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401.312(1)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The decision prepared by the presiding officer is a proposed decision. The proposed decision becomes the final decision of the board without further proceedings unless there is an appeal to, or review on motion of, the board within the time provided in subrule </w:t>
      </w:r>
      <w:hyperlink r:id="rId49">
        <w:r>
          <w:rPr>
            <w:rStyle w:val="Hyperlink"/>
            <w:rFonts w:ascii="Times New Roman" w:hAnsi="Times New Roman"/>
            <w:b w:val="false"/>
            <w:i w:val="false"/>
            <w:color w:val="000000"/>
            <w:sz w:val="22"/>
          </w:rPr>
          <w:t>401.312(2)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401.312(2)</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briefs, if any, must be filed within five days of meeting.</w:t>
      </w:r>
    </w:p>
    <w:p>
      <w:pPr>
        <w:spacing w:before="210" w:after="0"/>
        <w:ind w:left="120"/>
        <w:jc w:val="both"/>
      </w:pPr>
      <w:r>
        <w:rPr>
          <w:rFonts w:ascii="Times New Roman" w:hAnsi="Times New Roman"/>
          <w:b/>
          <w:i w:val="false"/>
          <w:color w:val="000000"/>
          <w:sz w:val="22"/>
        </w:rPr>
        <w:t>661—401.313</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661—401.314</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401.314(1)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401.314(2)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401.314(3)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401.314(4)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401.314(5)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shall be deemed denied unless the board grants the application within 20 days after its filing.</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10/5/04, Notice 8/18/04—published 10/27/04, effective 12/1/04]</w:t>
      </w:r>
    </w:p>
    <w:p>
      <w:pPr>
        <w:spacing w:before="0" w:after="0"/>
        <w:ind w:left="120"/>
        <w:jc w:val="center"/>
      </w:pPr>
      <w:r>
        <w:rPr>
          <w:rFonts w:ascii="Times New Roman" w:hAnsi="Times New Roman"/>
          <w:b w:val="false"/>
          <w:i w:val="false"/>
          <w:color w:val="000000"/>
          <w:sz w:val="21"/>
        </w:rPr>
        <w:t>[Filed 9/20/06, Notice 7/19/06—published 10/11/06, effective 12/1/06]</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Emergency After Notice ARC 8935B</w:t>
      </w:r>
      <w:r>
        <w:rPr>
          <w:rFonts w:ascii="Times New Roman" w:hAnsi="Times New Roman"/>
          <w:b w:val="false"/>
          <w:i w:val="false"/>
          <w:color w:val="000000"/>
          <w:sz w:val="21"/>
        </w:rPr>
        <w:t xml:space="preserve"> (Notice ARC 8767B, IAB 5/19/10)</w:t>
      </w:r>
      <w:r>
        <w:rPr>
          <w:rFonts w:ascii="Times New Roman" w:hAnsi="Times New Roman"/>
          <w:b w:val="false"/>
          <w:i w:val="false"/>
          <w:color w:val="000000"/>
          <w:sz w:val="21"/>
        </w:rPr>
        <w:t>, IAB 7/14/10, effective 7/1/10]</w:t>
      </w:r>
    </w:p>
    <w:p>
      <w:pPr>
        <w:spacing w:before="0" w:after="0"/>
        <w:ind w:left="120"/>
        <w:jc w:val="center"/>
      </w:pPr>
      <w:r>
        <w:rPr>
          <w:rFonts w:ascii="Times New Roman" w:hAnsi="Times New Roman"/>
          <w:b w:val="false"/>
          <w:i w:val="false"/>
          <w:color w:val="000000"/>
          <w:sz w:val="21"/>
        </w:rPr>
        <w:t>[Filed ARC 5975C</w:t>
      </w:r>
      <w:r>
        <w:rPr>
          <w:rFonts w:ascii="Times New Roman" w:hAnsi="Times New Roman"/>
          <w:b w:val="false"/>
          <w:i w:val="false"/>
          <w:color w:val="000000"/>
          <w:sz w:val="21"/>
        </w:rPr>
        <w:t xml:space="preserve"> (Notice ARC 5654C, IAB 6/2/21)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ac/rule/661.400.2.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A.6.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14.pdf" Type="http://schemas.openxmlformats.org/officeDocument/2006/relationships/hyperlink" Id="rId10"/>
    <Relationship TargetMode="External" Target="https://www.legis.iowa.gov/docs/ico/chapter/97A.6.pdf" Type="http://schemas.openxmlformats.org/officeDocument/2006/relationships/hyperlink" Id="rId11"/>
    <Relationship TargetMode="External" Target="https://www.legis.iowa.gov/docs/ico/chapter/97A.6.pdf" Type="http://schemas.openxmlformats.org/officeDocument/2006/relationships/hyperlink" Id="rId12"/>
    <Relationship TargetMode="External" Target="https://www.legis.iowa.gov/docs/ico/chapter/97A.14.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7A.4.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4.pdf" Type="http://schemas.openxmlformats.org/officeDocument/2006/relationships/hyperlink" Id="rId20"/>
    <Relationship TargetMode="External" Target="https://www.legis.iowa.gov/docs/ico/chapter/17A.5.pdf" Type="http://schemas.openxmlformats.org/officeDocument/2006/relationships/hyperlink" Id="rId21"/>
    <Relationship TargetMode="External" Target="https://www.legis.iowa.gov/docs/ico/chapter/17A.6.pdf" Type="http://schemas.openxmlformats.org/officeDocument/2006/relationships/hyperlink" Id="rId22"/>
    <Relationship TargetMode="External" Target="https://www.legis.iowa.gov/docs/iac/rule/661.400.6.pdf" Type="http://schemas.openxmlformats.org/officeDocument/2006/relationships/hyperlink" Id="rId23"/>
    <Relationship TargetMode="External" Target="https://www.legis.iowa.gov/docs/iac/rule/661.401.112.pdf" Type="http://schemas.openxmlformats.org/officeDocument/2006/relationships/hyperlink" Id="rId24"/>
    <Relationship TargetMode="External" Target="https://www.legis.iowa.gov/docs/iac/rule/661.401.113.pdf" Type="http://schemas.openxmlformats.org/officeDocument/2006/relationships/hyperlink" Id="rId25"/>
    <Relationship TargetMode="External" Target="https://www.legis.iowa.gov/docs/ico/chapter/17A.10-18A.pdf" Type="http://schemas.openxmlformats.org/officeDocument/2006/relationships/hyperlink" Id="rId26"/>
    <Relationship TargetMode="External" Target="https://www.legis.iowa.gov/docs/ico/chapter/17A.3.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ac/rule/661.401.207.pdf" Type="http://schemas.openxmlformats.org/officeDocument/2006/relationships/hyperlink" Id="rId30"/>
    <Relationship TargetMode="External" Target="https://www.legis.iowa.gov/docs/iac/rule/661.401.206.pdf" Type="http://schemas.openxmlformats.org/officeDocument/2006/relationships/hyperlink" Id="rId31"/>
    <Relationship TargetMode="External" Target="https://www.legis.iowa.gov/docs/iac/rule/661.401.202.pdf" Type="http://schemas.openxmlformats.org/officeDocument/2006/relationships/hyperlink" Id="rId32"/>
    <Relationship TargetMode="External" Target="https://www.legis.iowa.gov/docs/iac/rule/661.401.208.pdf" Type="http://schemas.openxmlformats.org/officeDocument/2006/relationships/hyperlink" Id="rId33"/>
    <Relationship TargetMode="External" Target="https://www.legis.iowa.gov/docs/iac/rule/661.401.301.pdf" Type="http://schemas.openxmlformats.org/officeDocument/2006/relationships/hyperlink" Id="rId34"/>
    <Relationship TargetMode="External" Target="https://www.legis.iowa.gov/docs/ico/chapter/17A.9.pdf" Type="http://schemas.openxmlformats.org/officeDocument/2006/relationships/hyperlink" Id="rId35"/>
    <Relationship TargetMode="External" Target="https://www.legis.iowa.gov/docs/ico/chapter/17A.9.pdf" Type="http://schemas.openxmlformats.org/officeDocument/2006/relationships/hyperlink" Id="rId36"/>
    <Relationship TargetMode="External" Target="https://www.legis.iowa.gov/docs/ico/chapter/17A.9.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7A.16.pdf" Type="http://schemas.openxmlformats.org/officeDocument/2006/relationships/hyperlink" Id="rId39"/>
    <Relationship TargetMode="External" Target="https://www.legis.iowa.gov/docs/iac/rule/661.400.6.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7A.13.pdf" Type="http://schemas.openxmlformats.org/officeDocument/2006/relationships/hyperlink" Id="rId42"/>
    <Relationship TargetMode="External" Target="https://www.legis.iowa.gov/docs/iac/rule/661.401.314.pdf" Type="http://schemas.openxmlformats.org/officeDocument/2006/relationships/hyperlink" Id="rId43"/>
    <Relationship TargetMode="External" Target="https://www.legis.iowa.gov/docs/iac/rule/661.401.312.pdf" Type="http://schemas.openxmlformats.org/officeDocument/2006/relationships/hyperlink" Id="rId44"/>
    <Relationship TargetMode="External" Target="https://www.legis.iowa.gov/docs/iac/rule/661.401.306.pdf" Type="http://schemas.openxmlformats.org/officeDocument/2006/relationships/hyperlink" Id="rId45"/>
    <Relationship TargetMode="External" Target="https://www.legis.iowa.gov/docs/iac/rule/661.401.312.pdf" Type="http://schemas.openxmlformats.org/officeDocument/2006/relationships/hyperlink" Id="rId46"/>
    <Relationship TargetMode="External" Target="https://www.legis.iowa.gov/docs/ico/chapter/97A.6.pdf" Type="http://schemas.openxmlformats.org/officeDocument/2006/relationships/hyperlink" Id="rId47"/>
    <Relationship TargetMode="External" Target="https://www.legis.iowa.gov/docs/ico/chapter/17A.13.pdf" Type="http://schemas.openxmlformats.org/officeDocument/2006/relationships/hyperlink" Id="rId48"/>
    <Relationship TargetMode="External" Target="https://www.legis.iowa.gov/docs/iac/rule/661.401.312.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97A.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