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350</w:t>
      </w:r>
    </w:p>
    <w:p>
      <w:pPr>
        <w:spacing w:before="0" w:after="0"/>
        <w:ind w:left="120"/>
        <w:jc w:val="center"/>
      </w:pPr>
      <w:r>
        <w:rPr>
          <w:rFonts w:ascii="Times New Roman" w:hAnsi="Times New Roman"/>
          <w:b w:val="false"/>
          <w:i w:val="false"/>
          <w:color w:val="000000"/>
          <w:sz w:val="21"/>
        </w:rPr>
        <w:t>STATE HISTORIC BUILDING CODE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661—350.1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definition.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applies to buildings which meet the requirements for placement on the National Register of Historic Places. This chapter is an alternative to the state building code or local building codes for the buildings to which it applies.</w:t>
      </w:r>
    </w:p>
    <w:p>
      <w:pPr>
        <w:spacing w:before="0" w:after="0"/>
        <w:ind w:left="120"/>
        <w:jc w:val="both"/>
      </w:pPr>
      <w:r>
        <w:rPr>
          <w:rFonts w:ascii="Times New Roman" w:hAnsi="Times New Roman"/>
          <w:b w:val="false"/>
          <w:i/>
          <w:color w:val="000000"/>
          <w:sz w:val="22"/>
        </w:rPr>
        <w:t>“Historic building”</w:t>
      </w:r>
      <w:r>
        <w:rPr>
          <w:rFonts w:ascii="Times New Roman" w:hAnsi="Times New Roman"/>
          <w:b w:val="false"/>
          <w:i w:val="false"/>
          <w:color w:val="000000"/>
          <w:sz w:val="22"/>
        </w:rPr>
        <w:t xml:space="preserve"> means any building or structure that is listed in the state or National Register of Historic Places; that is designated as a historic property under local or state designation law or survey; that is certified as a contributing resource within a National Register-listed or locally designated historic district; or that has an opinion or certification that the property is eligible to be listed on the state or National Register of Historic Places either individually or as a contributing building to a historic district by the state historic preservation officer pursuant to Iowa Code section </w:t>
      </w:r>
      <w:hyperlink r:id="rId5">
        <w:r>
          <w:rPr>
            <w:rStyle w:val="Hyperlink"/>
            <w:rFonts w:ascii="Times New Roman" w:hAnsi="Times New Roman"/>
            <w:b w:val="false"/>
            <w:i w:val="false"/>
            <w:color w:val="000000"/>
            <w:sz w:val="22"/>
          </w:rPr>
          <w:t>103A.42</w:t>
        </w:r>
      </w:hyperlink>
      <w:r>
        <w:rPr>
          <w:rFonts w:ascii="Times New Roman" w:hAnsi="Times New Roman"/>
          <w:b w:val="false"/>
          <w:i w:val="false"/>
          <w:color w:val="000000"/>
          <w:sz w:val="22"/>
        </w:rPr>
        <w:t xml:space="preserve"> or the Keeper of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The provisions of </w:t>
      </w:r>
      <w:hyperlink r:id="rId6">
        <w:r>
          <w:rPr>
            <w:rStyle w:val="Hyperlink"/>
            <w:rFonts w:ascii="Times New Roman" w:hAnsi="Times New Roman"/>
            <w:b w:val="false"/>
            <w:i w:val="false"/>
            <w:color w:val="000000"/>
            <w:sz w:val="22"/>
          </w:rPr>
          <w:t>661—Chapter 300</w:t>
        </w:r>
      </w:hyperlink>
      <w:r>
        <w:rPr>
          <w:rFonts w:ascii="Times New Roman" w:hAnsi="Times New Roman"/>
          <w:b w:val="false"/>
          <w:i w:val="false"/>
          <w:color w:val="000000"/>
          <w:sz w:val="22"/>
        </w:rPr>
        <w:t xml:space="preserv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350.1(3)</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The provisions of the International Existing Building Code, 2015 edition, published by the International Code Council, 500 New Jersey Avenue NW, 6th Floor, Washington, D.C. 20001, are hereby adopted as the alternative requirements for rehabilitation, preservation, restoration, repair, alteration, change of occupancy and relocation of and addition to historic buildings, with the following amendments:</w:t>
      </w:r>
    </w:p>
    <w:p>
      <w:pPr>
        <w:spacing w:before="0" w:after="0"/>
        <w:ind w:left="120"/>
        <w:jc w:val="both"/>
      </w:pP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Delete section 101.4.2 and insert in lieu thereof the following new section:</w:t>
      </w:r>
    </w:p>
    <w:p>
      <w:pPr>
        <w:spacing w:before="0" w:after="0"/>
        <w:ind w:left="120"/>
        <w:jc w:val="both"/>
      </w:pPr>
      <w:r>
        <w:rPr>
          <w:rFonts w:ascii="Times New Roman" w:hAnsi="Times New Roman"/>
          <w:b w:val="false"/>
          <w:i w:val="false"/>
          <w:color w:val="000000"/>
          <w:sz w:val="22"/>
        </w:rPr>
        <w:t>101.4.2 Buildings previously occupied. The legal occupancy of any structure existing on the date of adoption of this code shall be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Delete section 101.5.</w:t>
      </w:r>
    </w:p>
    <w:p>
      <w:pPr>
        <w:spacing w:before="0" w:after="0"/>
        <w:ind w:left="120"/>
        <w:jc w:val="both"/>
      </w:pPr>
      <w:r>
        <w:rPr>
          <w:rFonts w:ascii="Times New Roman" w:hAnsi="Times New Roman"/>
          <w:b w:val="false"/>
          <w:i w:val="false"/>
          <w:color w:val="000000"/>
          <w:sz w:val="22"/>
        </w:rPr>
        <w:t>Delete section 101.6.</w:t>
      </w:r>
    </w:p>
    <w:p>
      <w:pPr>
        <w:spacing w:before="0" w:after="0"/>
        <w:ind w:left="120"/>
        <w:jc w:val="both"/>
      </w:pPr>
      <w:r>
        <w:rPr>
          <w:rFonts w:ascii="Times New Roman" w:hAnsi="Times New Roman"/>
          <w:b w:val="false"/>
          <w:i w:val="false"/>
          <w:color w:val="000000"/>
          <w:sz w:val="22"/>
        </w:rPr>
        <w:t>Delete section 101.7.</w:t>
      </w:r>
    </w:p>
    <w:p>
      <w:pPr>
        <w:spacing w:before="0" w:after="0"/>
        <w:ind w:left="120"/>
        <w:jc w:val="both"/>
      </w:pPr>
      <w:r>
        <w:rPr>
          <w:rFonts w:ascii="Times New Roman" w:hAnsi="Times New Roman"/>
          <w:b w:val="false"/>
          <w:i w:val="false"/>
          <w:color w:val="000000"/>
          <w:sz w:val="22"/>
        </w:rPr>
        <w:t>Delete sections 103, 104, and 105 and sections therein.</w:t>
      </w:r>
    </w:p>
    <w:p>
      <w:pPr>
        <w:spacing w:before="0" w:after="0"/>
        <w:ind w:left="120"/>
        <w:jc w:val="both"/>
      </w:pP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Delete sections 108, 109, 110, 112, 113, 114, 115, 116 and 117 and sections therein.</w:t>
      </w:r>
    </w:p>
    <w:p>
      <w:pPr>
        <w:spacing w:before="0" w:after="0"/>
        <w:ind w:left="120"/>
        <w:jc w:val="both"/>
      </w:pPr>
      <w:r>
        <w:rPr>
          <w:rFonts w:ascii="Times New Roman" w:hAnsi="Times New Roman"/>
          <w:b w:val="false"/>
          <w:i w:val="false"/>
          <w:color w:val="000000"/>
          <w:sz w:val="22"/>
        </w:rPr>
        <w:t>Delete the definition of “historic building.”</w:t>
      </w:r>
    </w:p>
    <w:p>
      <w:pPr>
        <w:spacing w:before="0" w:after="0"/>
        <w:ind w:left="120"/>
        <w:jc w:val="both"/>
      </w:pPr>
      <w:r>
        <w:rPr>
          <w:rFonts w:ascii="Times New Roman" w:hAnsi="Times New Roman"/>
          <w:b w:val="false"/>
          <w:i w:val="false"/>
          <w:color w:val="000000"/>
          <w:sz w:val="22"/>
        </w:rPr>
        <w:t>Delete section 705.</w:t>
      </w:r>
    </w:p>
    <w:p>
      <w:pPr>
        <w:spacing w:before="0" w:after="0"/>
        <w:ind w:left="120"/>
        <w:jc w:val="both"/>
      </w:pPr>
      <w:r>
        <w:rPr>
          <w:rFonts w:ascii="Times New Roman" w:hAnsi="Times New Roman"/>
          <w:b w:val="false"/>
          <w:i w:val="false"/>
          <w:color w:val="000000"/>
          <w:sz w:val="22"/>
        </w:rPr>
        <w:t>Delete section 906.</w:t>
      </w:r>
    </w:p>
    <w:p>
      <w:pPr>
        <w:spacing w:before="0" w:after="0"/>
        <w:ind w:left="120"/>
        <w:jc w:val="both"/>
      </w:pPr>
      <w:r>
        <w:rPr>
          <w:rFonts w:ascii="Times New Roman" w:hAnsi="Times New Roman"/>
          <w:b w:val="false"/>
          <w:i w:val="false"/>
          <w:color w:val="000000"/>
          <w:sz w:val="22"/>
        </w:rPr>
        <w:t>Delete section 1012.8.</w:t>
      </w:r>
    </w:p>
    <w:p>
      <w:pPr>
        <w:spacing w:before="0" w:after="0"/>
        <w:ind w:left="120"/>
        <w:jc w:val="both"/>
      </w:pPr>
      <w:r>
        <w:rPr>
          <w:rFonts w:ascii="Times New Roman" w:hAnsi="Times New Roman"/>
          <w:b w:val="false"/>
          <w:i w:val="false"/>
          <w:color w:val="000000"/>
          <w:sz w:val="22"/>
        </w:rPr>
        <w:t>Delete section 1105.1.</w:t>
      </w:r>
    </w:p>
    <w:p>
      <w:pPr>
        <w:spacing w:before="0" w:after="0"/>
        <w:ind w:left="120"/>
        <w:jc w:val="both"/>
      </w:pPr>
      <w:r>
        <w:rPr>
          <w:rFonts w:ascii="Times New Roman" w:hAnsi="Times New Roman"/>
          <w:b w:val="false"/>
          <w:i w:val="false"/>
          <w:color w:val="000000"/>
          <w:sz w:val="22"/>
        </w:rPr>
        <w:t>Delete section 1205.15.</w:t>
      </w:r>
    </w:p>
    <w:p>
      <w:pPr>
        <w:spacing w:before="0" w:after="0"/>
        <w:ind w:left="120"/>
        <w:jc w:val="both"/>
      </w:pPr>
      <w:r>
        <w:rPr>
          <w:rFonts w:ascii="Times New Roman" w:hAnsi="Times New Roman"/>
          <w:b w:val="false"/>
          <w:i w:val="false"/>
          <w:color w:val="000000"/>
          <w:sz w:val="22"/>
        </w:rPr>
        <w:t xml:space="preserve">Delete appendix B and insert in lieu thereof “Any building or facility subject to this Chapter shall comply with the provisions of </w:t>
      </w:r>
      <w:hyperlink r:id="rId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Delete all references to the “International Fuel Gas Code” and insert in lieu thereof “rule </w:t>
      </w:r>
      <w:hyperlink r:id="rId8">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xml:space="preserve">Delete all references to the “International Building Code” and insert in lieu thereof “rule </w:t>
      </w:r>
      <w:hyperlink r:id="rId9">
        <w:r>
          <w:rPr>
            <w:rStyle w:val="Hyperlink"/>
            <w:rFonts w:ascii="Times New Roman" w:hAnsi="Times New Roman"/>
            <w:b w:val="false"/>
            <w:i w:val="false"/>
            <w:color w:val="000000"/>
            <w:sz w:val="22"/>
          </w:rPr>
          <w:t>661—301.3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xml:space="preserve">Delete all references to the “International Residential Code” and insert in lieu thereof “rule </w:t>
      </w:r>
      <w:hyperlink r:id="rId10">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Delete all references to the “International Fire Code” and insert in lieu thereof “state fire code.”</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A construction project subject to the provisions of this rule may comply with either the requirements adopted herein or the provisions of this rule as it was previously published if the project is commenced on or before June 30, 2016.</w:t>
      </w:r>
    </w:p>
    <w:p>
      <w:pPr>
        <w:spacing w:before="0" w:after="0"/>
        <w:ind w:left="120"/>
        <w:jc w:val="both"/>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International Existing Building Code, 2015 edition, Resource A, provides guidelines for evaluating fire ratings of archaic materials and assemblies which may be used by designers and code officials when evaluating compliance with provisions of this chapter.</w:t>
      </w:r>
    </w:p>
    <w:p>
      <w:pPr>
        <w:spacing w:before="0" w:after="0"/>
        <w:ind w:left="120"/>
        <w:jc w:val="both"/>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 xml:space="preserve">Except for elevators excluded from the jurisdiction of the Iowa division of labor services by the provisions of Iowa Code section </w:t>
      </w:r>
      <w:hyperlink r:id="rId11">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 each elevator is required to comply with any applicable requirements established by the Iowa division of labor services and is subject to enforcement of any applicable regulations by the Iowa division of labor services.</w:t>
      </w:r>
    </w:p>
    <w:p>
      <w:pPr>
        <w:spacing w:before="0" w:after="0"/>
        <w:ind w:left="120"/>
        <w:jc w:val="both"/>
      </w:pPr>
      <w:r>
        <w:rPr>
          <w:rFonts w:ascii="Times New Roman" w:hAnsi="Times New Roman"/>
          <w:b w:val="false"/>
          <w:i w:val="false"/>
          <w:color w:val="000000"/>
          <w:sz w:val="22"/>
        </w:rPr>
        <w:t xml:space="preserve">NOTE 3: </w:t>
      </w:r>
      <w:r>
        <w:rPr>
          <w:rFonts w:ascii="Times New Roman" w:hAnsi="Times New Roman"/>
          <w:b w:val="false"/>
          <w:i w:val="false"/>
          <w:color w:val="000000"/>
          <w:sz w:val="22"/>
        </w:rPr>
        <w:t xml:space="preserve">Except for boilers and pressure vessels excluded from the jurisdiction of the Iowa division of labor services by the provisions of Iowa Code section </w:t>
      </w:r>
      <w:hyperlink r:id="rId12">
        <w:r>
          <w:rPr>
            <w:rStyle w:val="Hyperlink"/>
            <w:rFonts w:ascii="Times New Roman" w:hAnsi="Times New Roman"/>
            <w:b w:val="false"/>
            <w:i w:val="false"/>
            <w:color w:val="000000"/>
            <w:sz w:val="22"/>
          </w:rPr>
          <w:t>89.4</w:t>
        </w:r>
      </w:hyperlink>
      <w:r>
        <w:rPr>
          <w:rFonts w:ascii="Times New Roman" w:hAnsi="Times New Roman"/>
          <w:b w:val="false"/>
          <w:i w:val="false"/>
          <w:color w:val="000000"/>
          <w:sz w:val="22"/>
        </w:rPr>
        <w:t>, each boiler or pressure vessel is required to comply with any applicable requirements established by the Iowa division of labor services and is subject to enforcement of any applicable regulations by the Iowa division of labor services.</w:t>
      </w:r>
    </w:p>
    <w:p>
      <w:pPr>
        <w:spacing w:before="0" w:after="0"/>
        <w:ind w:left="120"/>
        <w:jc w:val="both"/>
      </w:pPr>
      <w:r>
        <w:rPr>
          <w:rFonts w:ascii="Times New Roman" w:hAnsi="Times New Roman"/>
          <w:b w:val="false"/>
          <w:i w:val="false"/>
          <w:color w:val="000000"/>
          <w:sz w:val="22"/>
        </w:rPr>
        <w:t>Any boiler which is subject to requirements established by the Iowa department of natural resources is required to comply with any such requirements and is subject to enforcement of any applicable regulations by the Iowa department of natural resources.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103A.41 through 103A.45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8304B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2493C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11/1/06, Notice 9/27/06—published 11/22/06, effective 1/1/07]</w:t>
      </w:r>
    </w:p>
    <w:p>
      <w:pPr>
        <w:spacing w:before="0" w:after="0"/>
        <w:ind w:left="120"/>
        <w:jc w:val="center"/>
      </w:pPr>
      <w:r>
        <w:rPr>
          <w:rFonts w:ascii="Times New Roman" w:hAnsi="Times New Roman"/>
          <w:b w:val="false"/>
          <w:i w:val="false"/>
          <w:color w:val="000000"/>
          <w:sz w:val="21"/>
        </w:rPr>
        <w:t>[Filed ARC 8304B</w:t>
      </w:r>
      <w:r>
        <w:rPr>
          <w:rFonts w:ascii="Times New Roman" w:hAnsi="Times New Roman"/>
          <w:b w:val="false"/>
          <w:i w:val="false"/>
          <w:color w:val="000000"/>
          <w:sz w:val="21"/>
        </w:rPr>
        <w:t xml:space="preserve"> (Notice ARC 8180B,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2493C</w:t>
      </w:r>
      <w:r>
        <w:rPr>
          <w:rFonts w:ascii="Times New Roman" w:hAnsi="Times New Roman"/>
          <w:b w:val="false"/>
          <w:i w:val="false"/>
          <w:color w:val="000000"/>
          <w:sz w:val="21"/>
        </w:rPr>
        <w:t xml:space="preserve"> (Notice ARC 2265C,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42.pdf" Type="http://schemas.openxmlformats.org/officeDocument/2006/relationships/hyperlink" Id="rId5"/>
    <Relationship TargetMode="External" Target="https://www.legis.iowa.gov/docs/iac/chapter/661.300.pdf" Type="http://schemas.openxmlformats.org/officeDocument/2006/relationships/hyperlink" Id="rId6"/>
    <Relationship TargetMode="External" Target="https://www.legis.iowa.gov/docs/iac/chapter/661.302.pdf" Type="http://schemas.openxmlformats.org/officeDocument/2006/relationships/hyperlink" Id="rId7"/>
    <Relationship TargetMode="External" Target="https://www.legis.iowa.gov/docs/iac/rule/661.301.9.pdf" Type="http://schemas.openxmlformats.org/officeDocument/2006/relationships/hyperlink" Id="rId8"/>
    <Relationship TargetMode="External" Target="https://www.legis.iowa.gov/docs/iac/rule/661.301.3.pdf" Type="http://schemas.openxmlformats.org/officeDocument/2006/relationships/hyperlink" Id="rId9"/>
    <Relationship TargetMode="External" Target="https://www.legis.iowa.gov/docs/iac/rule/661.301.8.pdf" Type="http://schemas.openxmlformats.org/officeDocument/2006/relationships/hyperlink" Id="rId10"/>
    <Relationship TargetMode="External" Target="https://www.legis.iowa.gov/docs/ico/chapter/89A.2.pdf" Type="http://schemas.openxmlformats.org/officeDocument/2006/relationships/hyperlink" Id="rId11"/>
    <Relationship TargetMode="External" Target="https://www.legis.iowa.gov/docs/ico/chapter/89.4.pdf" Type="http://schemas.openxmlformats.org/officeDocument/2006/relationships/hyperlink" Id="rId12"/>
    <Relationship TargetMode="External" Target="https://www.legis.iowa.gov/docs/ico/chapter/103A.41-4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