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323</w:t>
      </w:r>
    </w:p>
    <w:p>
      <w:pPr>
        <w:spacing w:before="0" w:after="0"/>
        <w:ind w:left="120"/>
        <w:jc w:val="center"/>
      </w:pPr>
      <w:r>
        <w:rPr>
          <w:rFonts w:ascii="Times New Roman" w:hAnsi="Times New Roman"/>
          <w:b w:val="false"/>
          <w:i w:val="false"/>
          <w:color w:val="000000"/>
          <w:sz w:val="21"/>
        </w:rPr>
        <w:t>TEMPORARY EMERGENCY USE OF FACTORY-BUILT STRUCTURES—COMMERCIAL USE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661—323.1</w:t>
      </w:r>
      <w:r>
        <w:rPr>
          <w:rFonts w:ascii="Times New Roman" w:hAnsi="Times New Roman"/>
          <w:b/>
          <w:i w:val="false"/>
          <w:color w:val="000000"/>
          <w:sz w:val="22"/>
        </w:rPr>
        <w:t xml:space="preserve">(103A) </w:t>
      </w:r>
      <w:r>
        <w:rPr>
          <w:rFonts w:ascii="Times New Roman" w:hAnsi="Times New Roman"/>
          <w:b/>
          <w:i w:val="false"/>
          <w:color w:val="000000"/>
          <w:sz w:val="22"/>
        </w:rPr>
        <w:t xml:space="preserve">Temporary factory-built structures for commercial use. </w:t>
      </w:r>
      <w:r>
        <w:rPr>
          <w:rFonts w:ascii="Times New Roman" w:hAnsi="Times New Roman"/>
          <w:b w:val="false"/>
          <w:i w:val="false"/>
          <w:color w:val="000000"/>
          <w:sz w:val="22"/>
        </w:rPr>
        <w:t xml:space="preserve">A factory-built structure, as defined in Iowa Code section </w:t>
      </w:r>
      <w:hyperlink r:id="rId5">
        <w:r>
          <w:rPr>
            <w:rStyle w:val="Hyperlink"/>
            <w:rFonts w:ascii="Times New Roman" w:hAnsi="Times New Roman"/>
            <w:b w:val="false"/>
            <w:i w:val="false"/>
            <w:color w:val="000000"/>
            <w:sz w:val="22"/>
          </w:rPr>
          <w:t>103A.3</w:t>
        </w:r>
      </w:hyperlink>
      <w:r>
        <w:rPr>
          <w:rFonts w:ascii="Times New Roman" w:hAnsi="Times New Roman"/>
          <w:b w:val="false"/>
          <w:i w:val="false"/>
          <w:color w:val="000000"/>
          <w:sz w:val="22"/>
        </w:rPr>
        <w:t>, may be installed and used as a temporary location for a business or commercial operation, provided that all of the following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is in an area currently subject to a disaster emergency proclamation issued by the governor pursuant to Iowa Code section </w:t>
      </w:r>
      <w:hyperlink r:id="rId6">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 If outside any area covered by a current disaster emergency proclamation, the installation is approved in writing by the building code commissioner provided that all of the other requirements of this rule are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323.1(2)</w:t>
      </w:r>
      <w:r>
        <w:rPr>
          <w:rFonts w:ascii="Times New Roman" w:hAnsi="Times New Roman"/>
          <w:b w:val="false"/>
          <w:i w:val="false"/>
          <w:color w:val="000000"/>
          <w:sz w:val="22"/>
        </w:rPr>
        <w:t> </w:t>
      </w:r>
      <w:r>
        <w:rPr>
          <w:rFonts w:ascii="Times New Roman" w:hAnsi="Times New Roman"/>
          <w:b w:val="false"/>
          <w:i w:val="false"/>
          <w:color w:val="000000"/>
          <w:sz w:val="22"/>
        </w:rPr>
        <w:t>The structure was manufactured to be installed without a permanent foundation.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installation fully complies with all applicable installation requirements established by the manufacturer. </w:t>
      </w:r>
    </w:p>
    <w:p>
      <w:pPr>
        <w:spacing w:before="0" w:after="0"/>
        <w:ind w:left="120"/>
        <w:jc w:val="both"/>
      </w:pPr>
      <w:r>
        <w:rPr>
          <w:rFonts w:ascii="Times New Roman" w:hAnsi="Times New Roman"/>
          <w:b w:val="false"/>
          <w:i w:val="false"/>
          <w:color w:val="000000"/>
          <w:sz w:val="22"/>
        </w:rPr>
        <w:t>EXCEPTION: If specifications provided by the manufacturer provide for the use of both a support system and an anchoring system, a structure may be installed without a permanent support system, provided that an anchoring system is installed in compliance with specifications provided by the manufacturer and the owner or occupant ensures that straps or ties are loosened to prevent the structure from suffering damage from frost heave as needed between November 15 of any year during which it is in use and April 15 of the following year. The straps or ties must be retightened on or after April 15 and no later than May 15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323.1(4)</w:t>
      </w:r>
      <w:r>
        <w:rPr>
          <w:rFonts w:ascii="Times New Roman" w:hAnsi="Times New Roman"/>
          <w:b w:val="false"/>
          <w:i w:val="false"/>
          <w:color w:val="000000"/>
          <w:sz w:val="22"/>
        </w:rPr>
        <w:t> </w:t>
      </w:r>
      <w:r>
        <w:rPr>
          <w:rFonts w:ascii="Times New Roman" w:hAnsi="Times New Roman"/>
          <w:b w:val="false"/>
          <w:i w:val="false"/>
          <w:color w:val="000000"/>
          <w:sz w:val="22"/>
        </w:rPr>
        <w:t>The owner ensures full compliance with all maintenance requirements established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structure meets all requirements of other applicable codes for the use of the structure, except that a structure installed in compliance with this rule is not required to display an Iowa seal as otherwise required by </w:t>
      </w:r>
      <w:hyperlink r:id="rId7">
        <w:r>
          <w:rPr>
            <w:rStyle w:val="Hyperlink"/>
            <w:rFonts w:ascii="Times New Roman" w:hAnsi="Times New Roman"/>
            <w:b w:val="false"/>
            <w:i w:val="false"/>
            <w:color w:val="000000"/>
            <w:sz w:val="22"/>
          </w:rPr>
          <w:t>661—subrules 16.610(21)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16.610(22)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16.610(24)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323.1(6)</w:t>
      </w:r>
      <w:r>
        <w:rPr>
          <w:rFonts w:ascii="Times New Roman" w:hAnsi="Times New Roman"/>
          <w:b w:val="false"/>
          <w:i w:val="false"/>
          <w:color w:val="000000"/>
          <w:sz w:val="22"/>
        </w:rPr>
        <w:t> </w:t>
      </w:r>
      <w:r>
        <w:rPr>
          <w:rFonts w:ascii="Times New Roman" w:hAnsi="Times New Roman"/>
          <w:b w:val="false"/>
          <w:i w:val="false"/>
          <w:color w:val="000000"/>
          <w:sz w:val="22"/>
        </w:rPr>
        <w:t>The structure is not used as a private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323.1(7)</w:t>
      </w:r>
      <w:r>
        <w:rPr>
          <w:rFonts w:ascii="Times New Roman" w:hAnsi="Times New Roman"/>
          <w:b w:val="false"/>
          <w:i w:val="false"/>
          <w:color w:val="000000"/>
          <w:sz w:val="22"/>
        </w:rPr>
        <w:t> </w:t>
      </w:r>
      <w:r>
        <w:rPr>
          <w:rFonts w:ascii="Times New Roman" w:hAnsi="Times New Roman"/>
          <w:b w:val="false"/>
          <w:i w:val="false"/>
          <w:color w:val="000000"/>
          <w:sz w:val="22"/>
        </w:rPr>
        <w:t>The structure is vacated within 18 months of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323.1(8)</w:t>
      </w:r>
      <w:r>
        <w:rPr>
          <w:rFonts w:ascii="Times New Roman" w:hAnsi="Times New Roman"/>
          <w:b w:val="false"/>
          <w:i w:val="false"/>
          <w:color w:val="000000"/>
          <w:sz w:val="22"/>
        </w:rPr>
        <w:t> </w:t>
      </w:r>
      <w:r>
        <w:rPr>
          <w:rFonts w:ascii="Times New Roman" w:hAnsi="Times New Roman"/>
          <w:b w:val="false"/>
          <w:i w:val="false"/>
          <w:color w:val="000000"/>
          <w:sz w:val="22"/>
        </w:rPr>
        <w:t>No portion of the structure is used as an educational occupancy, unless written permission for such use has been issued by the state fire marshal and the state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323.1(9)</w:t>
      </w:r>
      <w:r>
        <w:rPr>
          <w:rFonts w:ascii="Times New Roman" w:hAnsi="Times New Roman"/>
          <w:b w:val="false"/>
          <w:i w:val="false"/>
          <w:color w:val="000000"/>
          <w:sz w:val="22"/>
        </w:rPr>
        <w:t> </w:t>
      </w:r>
      <w:r>
        <w:rPr>
          <w:rFonts w:ascii="Times New Roman" w:hAnsi="Times New Roman"/>
          <w:b w:val="false"/>
          <w:i w:val="false"/>
          <w:color w:val="000000"/>
          <w:sz w:val="22"/>
        </w:rPr>
        <w:t>No portion of the structure is used as a health care facility or portion of a health care facility unless written permission for such use has been issued by the state fire marshal and the state building code commissioner.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103A.9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7/8/08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7/10/08</w:t>
      </w:r>
      <w:r>
        <w:rPr>
          <w:rFonts w:ascii="Times New Roman" w:hAnsi="Times New Roman"/>
          <w:b w:val="false"/>
          <w:i w:val="false"/>
          <w:color w:val="000000"/>
          <w:sz w:val="21"/>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3.pdf" Type="http://schemas.openxmlformats.org/officeDocument/2006/relationships/hyperlink" Id="rId5"/>
    <Relationship TargetMode="External" Target="https://www.legis.iowa.gov/docs/ico/chapter/29C.6.pdf" Type="http://schemas.openxmlformats.org/officeDocument/2006/relationships/hyperlink" Id="rId6"/>
    <Relationship TargetMode="External" Target="https://www.legis.iowa.gov/docs/iac/rule/661.16.610.pdf" Type="http://schemas.openxmlformats.org/officeDocument/2006/relationships/hyperlink" Id="rId7"/>
    <Relationship TargetMode="External" Target="https://www.legis.iowa.gov/docs/iac/rule/661.16.610.pdf" Type="http://schemas.openxmlformats.org/officeDocument/2006/relationships/hyperlink" Id="rId8"/>
    <Relationship TargetMode="External" Target="https://www.legis.iowa.gov/docs/iac/rule/661.16.610.pdf" Type="http://schemas.openxmlformats.org/officeDocument/2006/relationships/hyperlink" Id="rId9"/>
    <Relationship TargetMode="External" Target="https://www.legis.iowa.gov/docs/ico/chapter/103A.9.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