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315</w:t>
      </w:r>
    </w:p>
    <w:p>
      <w:pPr>
        <w:spacing w:before="0" w:after="0"/>
        <w:ind w:left="120"/>
        <w:jc w:val="center"/>
      </w:pPr>
      <w:r>
        <w:rPr>
          <w:rFonts w:ascii="Times New Roman" w:hAnsi="Times New Roman"/>
          <w:b w:val="false"/>
          <w:i w:val="false"/>
          <w:color w:val="000000"/>
          <w:sz w:val="21"/>
        </w:rPr>
        <w:t>WEATHER SAFE ROOMS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661—315.1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w:t>
      </w:r>
      <w:r>
        <w:rPr>
          <w:rFonts w:ascii="Times New Roman" w:hAnsi="Times New Roman"/>
          <w:b w:val="false"/>
          <w:i w:val="false"/>
          <w:color w:val="000000"/>
          <w:sz w:val="22"/>
        </w:rPr>
        <w:t>The standards adopted in this chapter shall apply to the design and construction of weather safe rooms constructed on or after January 1, 2017. The rules in this chapter do not require the construction of a weather safe room or rooms for any construction project but establish standards for design and construction of weather safe rooms when their construction is required by another provision of law or is incorporated voluntarily in a construction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8695B</w:t>
      </w:r>
      <w:r>
        <w:rPr>
          <w:rFonts w:ascii="Times New Roman" w:hAnsi="Times New Roman"/>
          <w:b w:val="false"/>
          <w:i w:val="false"/>
          <w:color w:val="000000"/>
          <w:sz w:val="16"/>
        </w:rPr>
        <w:t>, IAB 4/21/10,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661—315.2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 </w:t>
      </w:r>
      <w:r>
        <w:rPr>
          <w:rFonts w:ascii="Times New Roman" w:hAnsi="Times New Roman"/>
          <w:b w:val="false"/>
          <w:i w:val="false"/>
          <w:color w:val="000000"/>
          <w:sz w:val="22"/>
        </w:rPr>
        <w:t>The following definition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“Weather safe room” </w:t>
      </w:r>
      <w:r>
        <w:rPr>
          <w:rFonts w:ascii="Times New Roman" w:hAnsi="Times New Roman"/>
          <w:b w:val="false"/>
          <w:i w:val="false"/>
          <w:color w:val="000000"/>
          <w:sz w:val="22"/>
        </w:rPr>
        <w:t>means a building, structure, or portion of a building or structure built in accordance with the requirements established in this chapter and designated for use during a severe windstorm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8695B</w:t>
      </w:r>
      <w:r>
        <w:rPr>
          <w:rFonts w:ascii="Times New Roman" w:hAnsi="Times New Roman"/>
          <w:b w:val="false"/>
          <w:i w:val="false"/>
          <w:color w:val="000000"/>
          <w:sz w:val="16"/>
        </w:rPr>
        <w:t>, IAB 4/21/10,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661—315.3</w:t>
      </w:r>
      <w:r>
        <w:rPr>
          <w:rFonts w:ascii="Times New Roman" w:hAnsi="Times New Roman"/>
          <w:b/>
          <w:i w:val="false"/>
          <w:color w:val="000000"/>
          <w:sz w:val="22"/>
        </w:rPr>
        <w:t xml:space="preserve">(103A) </w:t>
      </w:r>
      <w:r>
        <w:rPr>
          <w:rFonts w:ascii="Times New Roman" w:hAnsi="Times New Roman"/>
          <w:b/>
          <w:i w:val="false"/>
          <w:color w:val="000000"/>
          <w:sz w:val="22"/>
        </w:rPr>
        <w:t xml:space="preserve">Requirements. </w:t>
      </w:r>
      <w:r>
        <w:rPr>
          <w:rFonts w:ascii="Times New Roman" w:hAnsi="Times New Roman"/>
          <w:b w:val="false"/>
          <w:i w:val="false"/>
          <w:color w:val="000000"/>
          <w:sz w:val="22"/>
        </w:rPr>
        <w:t>Any weather safe room constructed on or after January 1, 2017, shall be designed and constructed in compliance with the provisions of ICC 500-2014, ICC/NSSA Standard for the Design and Construction of Storm Shelters, published by the International Code Council, 500 New Jersey Avenue NW, 6th Floor, Washington, D.C. 20001. Any provision which would apply to a hurricane safe structure but not to a tornado safe structure shall not apply. For any provision for which a distinction is made between a tornado safe structure and a hurricane safe structure, the requirement for a tornado safe structure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8695B</w:t>
      </w:r>
      <w:r>
        <w:rPr>
          <w:rFonts w:ascii="Times New Roman" w:hAnsi="Times New Roman"/>
          <w:b w:val="false"/>
          <w:i w:val="false"/>
          <w:color w:val="000000"/>
          <w:sz w:val="16"/>
        </w:rPr>
        <w:t>, IAB 4/21/10,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2009 Iowa Acts, chapter 142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8695B</w:t>
      </w:r>
      <w:r>
        <w:rPr>
          <w:rFonts w:ascii="Times New Roman" w:hAnsi="Times New Roman"/>
          <w:b w:val="false"/>
          <w:i w:val="false"/>
          <w:color w:val="000000"/>
          <w:sz w:val="21"/>
        </w:rPr>
        <w:t xml:space="preserve"> (Notice ARC 8521B, IAB 2/10/10)</w:t>
      </w:r>
      <w:r>
        <w:rPr>
          <w:rFonts w:ascii="Times New Roman" w:hAnsi="Times New Roman"/>
          <w:b w:val="false"/>
          <w:i w:val="false"/>
          <w:color w:val="000000"/>
          <w:sz w:val="21"/>
        </w:rPr>
        <w:t>, IAB 4/21/10, effective 7/1/10]</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