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STATE BUILDING CODE—GENERAL PROVISIONS</w:t>
      </w:r>
    </w:p>
    <w:p>
      <w:pPr>
        <w:spacing w:before="0" w:after="0"/>
        <w:ind w:left="120"/>
        <w:jc w:val="center"/>
      </w:pPr>
      <w:r>
        <w:rPr>
          <w:rFonts w:ascii="Times New Roman" w:hAnsi="Times New Roman"/>
          <w:b w:val="false"/>
          <w:i w:val="false"/>
          <w:color w:val="000000"/>
          <w:sz w:val="14"/>
        </w:rPr>
        <w:t>[Prior to 12/21/05, see rules 661—16.1(103A) to 661—16.500(103A)]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661—301.1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The provisions of this chapter apply generally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Buildings and facilities owned by the state of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initial construction of any building or facility not wholly owned by the state of Iowa or any department or agency of the state of Iowa which is financed in whole or in part with funds appropriated by the state, if there is no local building code in effect in the jurisdiction in which the construction is located or if there is a local building code in effect in the jurisdiction, and the local building code is not enforced through a system of plan reviews and inspections;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Buildings and facilities subject to the state building code, pursuant to a provision of state or federal law other than Iowa Code chapter </w:t>
      </w:r>
      <w:hyperlink r:id="rId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Buildings and facilities in local jurisdictions which have adopted the state building code by local ordinance in accordance with the provisions of Iowa Code section </w:t>
      </w:r>
      <w:hyperlink r:id="rId6">
        <w:r>
          <w:rPr>
            <w:rStyle w:val="Hyperlink"/>
            <w:rFonts w:ascii="Times New Roman" w:hAnsi="Times New Roman"/>
            <w:b w:val="false"/>
            <w:i w:val="false"/>
            <w:color w:val="000000"/>
            <w:sz w:val="22"/>
          </w:rPr>
          <w:t>103A.12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661—301.2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661—Chapters </w:t>
      </w:r>
      <w:r>
        <w:rPr>
          <w:rFonts w:ascii="Times New Roman" w:hAnsi="Times New Roman"/>
          <w:b w:val="false"/>
          <w:i w:val="false"/>
          <w:color w:val="000000"/>
          <w:sz w:val="22"/>
        </w:rPr>
        <w:t>300</w:t>
      </w:r>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302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315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“Appropriated by the state of Iowa” </w:t>
      </w:r>
      <w:r>
        <w:rPr>
          <w:rFonts w:ascii="Times New Roman" w:hAnsi="Times New Roman"/>
          <w:b w:val="false"/>
          <w:i w:val="false"/>
          <w:color w:val="000000"/>
          <w:sz w:val="22"/>
        </w:rPr>
        <w:t>means funds which are included in a bill enacted by the Iowa general assembly and signed by the governor or which are appropriated in a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appeals” </w:t>
      </w:r>
      <w:r>
        <w:rPr>
          <w:rFonts w:ascii="Times New Roman" w:hAnsi="Times New Roman"/>
          <w:b w:val="false"/>
          <w:i w:val="false"/>
          <w:color w:val="000000"/>
          <w:sz w:val="22"/>
        </w:rPr>
        <w:t>means the local board of appeals as created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review”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state building code board of review created by Iowa Code section </w:t>
      </w:r>
      <w:hyperlink r:id="rId14">
        <w:r>
          <w:rPr>
            <w:rStyle w:val="Hyperlink"/>
            <w:rFonts w:ascii="Times New Roman" w:hAnsi="Times New Roman"/>
            <w:b w:val="false"/>
            <w:i w:val="false"/>
            <w:color w:val="000000"/>
            <w:sz w:val="22"/>
          </w:rPr>
          <w:t>103A.15</w:t>
        </w:r>
      </w:hyperlink>
      <w:r>
        <w:rPr>
          <w:rFonts w:ascii="Times New Roman" w:hAnsi="Times New Roman"/>
          <w:b w:val="false"/>
          <w:i w:val="false"/>
          <w:color w:val="000000"/>
          <w:sz w:val="22"/>
        </w:rPr>
        <w:t>. The three members of the board of review are appointed by the building code commissioner from among the membership of the building code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 xml:space="preserve">means a combination of materials, whether portable or fixed, to form a structure affording facilities or shelter for persons, animals or property. The word “building” includes any part of a building unless the context clearly requires a different meaning. This definition does not apply to </w:t>
      </w:r>
      <w:hyperlink r:id="rId15">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code advisory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seven-member council appointed by the governor, pursuant to Iowa Code section </w:t>
      </w:r>
      <w:hyperlink r:id="rId16">
        <w:r>
          <w:rPr>
            <w:rStyle w:val="Hyperlink"/>
            <w:rFonts w:ascii="Times New Roman" w:hAnsi="Times New Roman"/>
            <w:b w:val="false"/>
            <w:i w:val="false"/>
            <w:color w:val="000000"/>
            <w:sz w:val="22"/>
          </w:rPr>
          <w:t>103A.14</w:t>
        </w:r>
      </w:hyperlink>
      <w:r>
        <w:rPr>
          <w:rFonts w:ascii="Times New Roman" w:hAnsi="Times New Roman"/>
          <w:b w:val="false"/>
          <w:i w:val="false"/>
          <w:color w:val="000000"/>
          <w:sz w:val="22"/>
        </w:rPr>
        <w:t>, to advise and confer with the commissioner on matters relating to the state building code and to approve provisions of the state building code adopted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component” </w:t>
      </w:r>
      <w:r>
        <w:rPr>
          <w:rFonts w:ascii="Times New Roman" w:hAnsi="Times New Roman"/>
          <w:b w:val="false"/>
          <w:i w:val="false"/>
          <w:color w:val="000000"/>
          <w:sz w:val="22"/>
        </w:rPr>
        <w:t>means any part, subsystem, subassembly, or other system designed for use in, or as a part of, a structure, including but not limited to: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department” </w:t>
      </w:r>
      <w:r>
        <w:rPr>
          <w:rFonts w:ascii="Times New Roman" w:hAnsi="Times New Roman"/>
          <w:b w:val="false"/>
          <w:i w:val="false"/>
          <w:color w:val="000000"/>
          <w:sz w:val="22"/>
        </w:rPr>
        <w:t>means an agency of any governmental subdivision charged with the administration, supervision, or enforcement of building regulations, prescribed or required by state or local building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system” </w:t>
      </w:r>
      <w:r>
        <w:rPr>
          <w:rFonts w:ascii="Times New Roman" w:hAnsi="Times New Roman"/>
          <w:b w:val="false"/>
          <w:i w:val="false"/>
          <w:color w:val="000000"/>
          <w:sz w:val="22"/>
        </w:rPr>
        <w:t>means plans, specifications and documentation for a system of manufactured factory-built structures or buildings or for a type or a system of building components, including but not limited to: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building code bureau of the fire marshal division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the state building code commissioner appointed by the commissioner of public safety pursuant to Iowa Code section </w:t>
      </w:r>
      <w:hyperlink r:id="rId17">
        <w:r>
          <w:rPr>
            <w:rStyle w:val="Hyperlink"/>
            <w:rFonts w:ascii="Times New Roman" w:hAnsi="Times New Roman"/>
            <w:b w:val="false"/>
            <w:i w:val="false"/>
            <w:color w:val="000000"/>
            <w:sz w:val="22"/>
          </w:rPr>
          <w:t>103A.4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means the construction, erection, reconstruction, alteration, conversion, repair, equipping of buildings, structures or facilities, and requirements or standards relating to or affecting materials used in connection therewith, including provisions for safety and sanitary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cost” </w:t>
      </w:r>
      <w:r>
        <w:rPr>
          <w:rFonts w:ascii="Times New Roman" w:hAnsi="Times New Roman"/>
          <w:b w:val="false"/>
          <w:i w:val="false"/>
          <w:color w:val="000000"/>
          <w:sz w:val="22"/>
        </w:rPr>
        <w:t>means the total cost of the work to the owner of all elements of the project designed or specified by the design professional including the cost at current market rates of labor and materials furnished by the owner and equipment designed, specified or specifically provided by the design professional. Construction costs shall include the costs of management or supervision of construction or installation provided by a separate construction manager or contractor, plus a reasonable allowance for each construction manager’s or contractor’s overhead and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fire marshal division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“Enforcement authority” </w:t>
      </w:r>
      <w:r>
        <w:rPr>
          <w:rFonts w:ascii="Times New Roman" w:hAnsi="Times New Roman"/>
          <w:b w:val="false"/>
          <w:i w:val="false"/>
          <w:color w:val="000000"/>
          <w:sz w:val="22"/>
        </w:rPr>
        <w:t>means any state agency or political subdivision of the state that has the authority to enforce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means plumbing, heating, electrical, ventilating, conditioning, refrigeration equipment, and other mechanical facilities or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subdivision” </w:t>
      </w:r>
      <w:r>
        <w:rPr>
          <w:rFonts w:ascii="Times New Roman" w:hAnsi="Times New Roman"/>
          <w:b w:val="false"/>
          <w:i w:val="false"/>
          <w:color w:val="000000"/>
          <w:sz w:val="22"/>
        </w:rPr>
        <w:t>means any state, city, town, county or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“Label” </w:t>
      </w:r>
      <w:r>
        <w:rPr>
          <w:rFonts w:ascii="Times New Roman" w:hAnsi="Times New Roman"/>
          <w:b w:val="false"/>
          <w:i w:val="false"/>
          <w:color w:val="000000"/>
          <w:sz w:val="22"/>
        </w:rPr>
        <w:t>means an approved device affixed to a factory- built structure or building, or building component, by an approved agency, evidencing code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“Listing agency” </w:t>
      </w:r>
      <w:r>
        <w:rPr>
          <w:rFonts w:ascii="Times New Roman" w:hAnsi="Times New Roman"/>
          <w:b w:val="false"/>
          <w:i w:val="false"/>
          <w:color w:val="000000"/>
          <w:sz w:val="22"/>
        </w:rPr>
        <w:t>means an agency approved by the commissioner which is in the business of listing or labeling and which maintains a periodic inspection program on current production of listed models, and which makes available timely reports of such listing including specific information verifying that the product has been tested to approved standards and found acceptable for use in a specified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design professional” </w:t>
      </w:r>
      <w:r>
        <w:rPr>
          <w:rFonts w:ascii="Times New Roman" w:hAnsi="Times New Roman"/>
          <w:b w:val="false"/>
          <w:i w:val="false"/>
          <w:color w:val="000000"/>
          <w:sz w:val="22"/>
        </w:rPr>
        <w:t xml:space="preserve">means a registered architect or licensed professional engineer who stamps and signs the documents submitted, pursuant to Iowa Code chapters </w:t>
      </w:r>
      <w:hyperlink r:id="rId1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fire code” </w:t>
      </w:r>
      <w:r>
        <w:rPr>
          <w:rFonts w:ascii="Times New Roman" w:hAnsi="Times New Roman"/>
          <w:b w:val="false"/>
          <w:i w:val="false"/>
          <w:color w:val="000000"/>
          <w:sz w:val="22"/>
        </w:rPr>
        <w:t xml:space="preserve">means administrative rules adopted by the state fire marshal, pursuant to Iowa Code section </w:t>
      </w:r>
      <w:hyperlink r:id="rId20">
        <w:r>
          <w:rPr>
            <w:rStyle w:val="Hyperlink"/>
            <w:rFonts w:ascii="Times New Roman" w:hAnsi="Times New Roman"/>
            <w:b w:val="false"/>
            <w:i w:val="false"/>
            <w:color w:val="000000"/>
            <w:sz w:val="22"/>
          </w:rPr>
          <w:t>100.1, subsection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mechanical code” </w:t>
      </w:r>
      <w:r>
        <w:rPr>
          <w:rFonts w:ascii="Times New Roman" w:hAnsi="Times New Roman"/>
          <w:b w:val="false"/>
          <w:i w:val="false"/>
          <w:color w:val="000000"/>
          <w:sz w:val="22"/>
        </w:rPr>
        <w:t xml:space="preserve">means the state mechanical code adopted by the state plumbing and mechanical systems board, pursuant to Iowa Code chapter </w:t>
      </w:r>
      <w:hyperlink r:id="rId2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plumbing code” </w:t>
      </w:r>
      <w:r>
        <w:rPr>
          <w:rFonts w:ascii="Times New Roman" w:hAnsi="Times New Roman"/>
          <w:b w:val="false"/>
          <w:i w:val="false"/>
          <w:color w:val="000000"/>
          <w:sz w:val="22"/>
        </w:rPr>
        <w:t xml:space="preserve">means the state plumbing code adopted by the state plumbing and mechanical systems board, pursuant to Iowa Code chapter </w:t>
      </w:r>
      <w:hyperlink r:id="rId2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 </w:t>
      </w:r>
      <w:r>
        <w:rPr>
          <w:rFonts w:ascii="Times New Roman" w:hAnsi="Times New Roman"/>
          <w:b w:val="false"/>
          <w:i w:val="false"/>
          <w:color w:val="000000"/>
          <w:sz w:val="22"/>
        </w:rPr>
        <w:t>means that which is built or constructed, an edifice or building of any kind, or any piece of work artificially built up or composed of parts joined together in some definite manner except transmission and distribution equipment of public utilities. “Structure” includes any part of a structure unless the context clearly requires a different meaning.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661—301.3</w:t>
      </w:r>
      <w:r>
        <w:rPr>
          <w:rFonts w:ascii="Times New Roman" w:hAnsi="Times New Roman"/>
          <w:b/>
          <w:i w:val="false"/>
          <w:color w:val="000000"/>
          <w:sz w:val="22"/>
        </w:rPr>
        <w:t xml:space="preserve">(103A)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provisions of the International Building Code, 2015 edition, published by the International Code Council, 500 New Jersey Avenue NW, 6th Floor, Washington, D.C. 20001, are hereby adopted by reference as the general requirements for building construction,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val="false"/>
          <w:color w:val="000000"/>
          <w:sz w:val="22"/>
        </w:rPr>
        <w:t>Delete section 101.2 and insert in lieu thereof the following new section:</w:t>
      </w:r>
    </w:p>
    <w:p>
      <w:pPr>
        <w:spacing w:before="0" w:after="0"/>
        <w:ind w:left="120"/>
        <w:jc w:val="both"/>
      </w:pPr>
      <w:r>
        <w:rPr>
          <w:rFonts w:ascii="Times New Roman" w:hAnsi="Times New Roman"/>
          <w:b w:val="false"/>
          <w:i w:val="false"/>
          <w:color w:val="000000"/>
          <w:sz w:val="22"/>
        </w:rPr>
        <w:t>101.2 Scope. The provisions of this code shall apply to the construction, alteration, movement, enlargement, replacement, repair, equipment, use and occupancy, location, maintenance, removal and demolition of every building or structure or any appurtenances connected or attached to such buildings or structures.</w:t>
      </w:r>
    </w:p>
    <w:p>
      <w:pPr>
        <w:spacing w:before="0" w:after="0"/>
        <w:ind w:left="120"/>
        <w:jc w:val="both"/>
      </w:pPr>
      <w:r>
        <w:rPr>
          <w:rFonts w:ascii="Times New Roman" w:hAnsi="Times New Roman"/>
          <w:b w:val="false"/>
          <w:i w:val="false"/>
          <w:color w:val="000000"/>
          <w:sz w:val="22"/>
        </w:rPr>
        <w:t xml:space="preserve">Exception: Detached one- and two-family dwellings and multiple single-family dwellings (townhouses) not more than three stories above grade plane in height with a separate means of egress and their accessory structures shall comply with the International Residential Code, as amended by rule </w:t>
      </w:r>
      <w:hyperlink r:id="rId23">
        <w:r>
          <w:rPr>
            <w:rStyle w:val="Hyperlink"/>
            <w:rFonts w:ascii="Times New Roman" w:hAnsi="Times New Roman"/>
            <w:b w:val="false"/>
            <w:i w:val="false"/>
            <w:color w:val="000000"/>
            <w:sz w:val="22"/>
          </w:rPr>
          <w:t>661—301.8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w:t>
      </w:r>
      <w:r>
        <w:rPr>
          <w:rFonts w:ascii="Times New Roman" w:hAnsi="Times New Roman"/>
          <w:b w:val="false"/>
          <w:i w:val="false"/>
          <w:color w:val="000000"/>
          <w:sz w:val="22"/>
        </w:rPr>
        <w:t> </w:t>
      </w:r>
      <w:r>
        <w:rPr>
          <w:rFonts w:ascii="Times New Roman" w:hAnsi="Times New Roman"/>
          <w:b w:val="false"/>
          <w:i w:val="false"/>
          <w:color w:val="000000"/>
          <w:sz w:val="22"/>
        </w:rPr>
        <w:t>Delete sections 101.4.1 through 101.4.6.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w:t>
      </w:r>
      <w:r>
        <w:rPr>
          <w:rFonts w:ascii="Times New Roman" w:hAnsi="Times New Roman"/>
          <w:b w:val="false"/>
          <w:i w:val="false"/>
          <w:color w:val="000000"/>
          <w:sz w:val="22"/>
        </w:rPr>
        <w:t> </w:t>
      </w:r>
      <w:r>
        <w:rPr>
          <w:rFonts w:ascii="Times New Roman" w:hAnsi="Times New Roman"/>
          <w:b w:val="false"/>
          <w:i w:val="false"/>
          <w:color w:val="000000"/>
          <w:sz w:val="22"/>
        </w:rPr>
        <w:t>Delete section 102.6 and insert in lieu thereof the following new section:</w:t>
      </w:r>
    </w:p>
    <w:p>
      <w:pPr>
        <w:spacing w:before="0" w:after="0"/>
        <w:ind w:left="120"/>
        <w:jc w:val="both"/>
      </w:pPr>
      <w:r>
        <w:rPr>
          <w:rFonts w:ascii="Times New Roman" w:hAnsi="Times New Roman"/>
          <w:b w:val="false"/>
          <w:i w:val="false"/>
          <w:color w:val="000000"/>
          <w:sz w:val="22"/>
        </w:rPr>
        <w:t>102.6 Existing Structures. The legal occupancy of any structure existing on the date of adoption of this code shall be permitted to continue without change, except as specifically covered in this code or the state fire code, or as deemed necessary by the building code commissioner for the general safety and welfare of the occupants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105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301.3(6)</w:t>
      </w:r>
      <w:r>
        <w:rPr>
          <w:rFonts w:ascii="Times New Roman" w:hAnsi="Times New Roman"/>
          <w:b w:val="false"/>
          <w:i w:val="false"/>
          <w:color w:val="000000"/>
          <w:sz w:val="22"/>
        </w:rPr>
        <w:t> </w:t>
      </w:r>
      <w:r>
        <w:rPr>
          <w:rFonts w:ascii="Times New Roman" w:hAnsi="Times New Roman"/>
          <w:b w:val="false"/>
          <w:i w:val="false"/>
          <w:color w:val="000000"/>
          <w:sz w:val="22"/>
        </w:rPr>
        <w:t>Delete section 106.2.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301.3(7)</w:t>
      </w:r>
      <w:r>
        <w:rPr>
          <w:rFonts w:ascii="Times New Roman" w:hAnsi="Times New Roman"/>
          <w:b w:val="false"/>
          <w:i w:val="false"/>
          <w:color w:val="000000"/>
          <w:sz w:val="22"/>
        </w:rPr>
        <w:t> </w:t>
      </w:r>
      <w:r>
        <w:rPr>
          <w:rFonts w:ascii="Times New Roman" w:hAnsi="Times New Roman"/>
          <w:b w:val="false"/>
          <w:i w:val="false"/>
          <w:color w:val="000000"/>
          <w:sz w:val="22"/>
        </w:rPr>
        <w:t>Delete section 107.1 and insert in lieu thereof the following new section:</w:t>
      </w:r>
    </w:p>
    <w:p>
      <w:pPr>
        <w:spacing w:before="0" w:after="0"/>
        <w:ind w:left="120"/>
        <w:jc w:val="both"/>
      </w:pPr>
      <w:r>
        <w:rPr>
          <w:rFonts w:ascii="Times New Roman" w:hAnsi="Times New Roman"/>
          <w:b w:val="false"/>
          <w:i w:val="false"/>
          <w:color w:val="000000"/>
          <w:sz w:val="22"/>
        </w:rPr>
        <w:t>107.1 General. Submittal documents consisting of construction documents, statement of special inspections, a geotechnical report and other data shall be submitted in one or more sets with each plan review application. The construction documents shall be prepared by a responsible design professional where required by the statutes of the jurisdiction in which the project is to be constructed. Where special conditions exist, the commissioner is authorized to require additional construction documents to be prepared by a responsible design professional.</w:t>
      </w:r>
    </w:p>
    <w:p>
      <w:pPr>
        <w:spacing w:before="0" w:after="0"/>
        <w:ind w:left="120"/>
        <w:jc w:val="both"/>
      </w:pPr>
      <w:r>
        <w:rPr>
          <w:rFonts w:ascii="Times New Roman" w:hAnsi="Times New Roman"/>
          <w:b w:val="false"/>
          <w:i w:val="false"/>
          <w:color w:val="000000"/>
          <w:sz w:val="22"/>
        </w:rPr>
        <w:t>Exception: The commissioner is authorized to waive the submission of construction documents and other data not required to be prepared by a responsible design professional if it is found that the nature of the work applied for is such that review of construction documents is not necessary to obtain compliance with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301.3(8)</w:t>
      </w:r>
      <w:r>
        <w:rPr>
          <w:rFonts w:ascii="Times New Roman" w:hAnsi="Times New Roman"/>
          <w:b w:val="false"/>
          <w:i w:val="false"/>
          <w:color w:val="000000"/>
          <w:sz w:val="22"/>
        </w:rPr>
        <w:t> </w:t>
      </w:r>
      <w:r>
        <w:rPr>
          <w:rFonts w:ascii="Times New Roman" w:hAnsi="Times New Roman"/>
          <w:b w:val="false"/>
          <w:i w:val="false"/>
          <w:color w:val="000000"/>
          <w:sz w:val="22"/>
        </w:rPr>
        <w:t>Delete sections 107.3, 107.4, and 107.5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301.3(9)</w:t>
      </w:r>
      <w:r>
        <w:rPr>
          <w:rFonts w:ascii="Times New Roman" w:hAnsi="Times New Roman"/>
          <w:b w:val="false"/>
          <w:i w:val="false"/>
          <w:color w:val="000000"/>
          <w:sz w:val="22"/>
        </w:rPr>
        <w:t> </w:t>
      </w:r>
      <w:r>
        <w:rPr>
          <w:rFonts w:ascii="Times New Roman" w:hAnsi="Times New Roman"/>
          <w:b w:val="false"/>
          <w:i w:val="false"/>
          <w:color w:val="000000"/>
          <w:sz w:val="22"/>
        </w:rPr>
        <w:t>Delete sections 109, 110, 111, 112, 113, 114, 115, and 116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301.3(10)</w:t>
      </w:r>
      <w:r>
        <w:rPr>
          <w:rFonts w:ascii="Times New Roman" w:hAnsi="Times New Roman"/>
          <w:b w:val="false"/>
          <w:i w:val="false"/>
          <w:color w:val="000000"/>
          <w:sz w:val="22"/>
        </w:rPr>
        <w:t> </w:t>
      </w:r>
      <w:r>
        <w:rPr>
          <w:rFonts w:ascii="Times New Roman" w:hAnsi="Times New Roman"/>
          <w:b w:val="false"/>
          <w:i w:val="false"/>
          <w:color w:val="000000"/>
          <w:sz w:val="22"/>
        </w:rPr>
        <w:t>Add the following to section 202, Definitions:</w:t>
      </w:r>
    </w:p>
    <w:p>
      <w:pPr>
        <w:spacing w:before="0" w:after="0"/>
        <w:ind w:left="120"/>
        <w:jc w:val="both"/>
      </w:pPr>
      <w:r>
        <w:rPr>
          <w:rFonts w:ascii="Times New Roman" w:hAnsi="Times New Roman"/>
          <w:b w:val="false"/>
          <w:i w:val="false"/>
          <w:color w:val="000000"/>
          <w:sz w:val="22"/>
        </w:rPr>
        <w:t>“Cabin Building.” A residential building or structure the use of which is transient in nature and which is used for sleeping purposes when not classified as an Institutional Group I or when not regulated by the International Residential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301.3(11)</w:t>
      </w:r>
      <w:r>
        <w:rPr>
          <w:rFonts w:ascii="Times New Roman" w:hAnsi="Times New Roman"/>
          <w:b w:val="false"/>
          <w:i w:val="false"/>
          <w:color w:val="000000"/>
          <w:sz w:val="22"/>
        </w:rPr>
        <w:t> </w:t>
      </w:r>
      <w:r>
        <w:rPr>
          <w:rFonts w:ascii="Times New Roman" w:hAnsi="Times New Roman"/>
          <w:b w:val="false"/>
          <w:i w:val="false"/>
          <w:color w:val="000000"/>
          <w:sz w:val="22"/>
        </w:rPr>
        <w:t>Add the following to section 310.2:</w:t>
      </w:r>
    </w:p>
    <w:p>
      <w:pPr>
        <w:spacing w:before="0" w:after="0"/>
        <w:ind w:left="120"/>
        <w:jc w:val="both"/>
      </w:pPr>
      <w:r>
        <w:rPr>
          <w:rFonts w:ascii="Times New Roman" w:hAnsi="Times New Roman"/>
          <w:b w:val="false"/>
          <w:i w:val="false"/>
          <w:color w:val="000000"/>
          <w:sz w:val="22"/>
        </w:rPr>
        <w:t>Cabin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301.3(12)</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408.9.1:</w:t>
      </w:r>
    </w:p>
    <w:p>
      <w:pPr>
        <w:spacing w:before="0" w:after="0"/>
        <w:ind w:left="120"/>
        <w:jc w:val="both"/>
      </w:pPr>
      <w:r>
        <w:rPr>
          <w:rFonts w:ascii="Times New Roman" w:hAnsi="Times New Roman"/>
          <w:b w:val="false"/>
          <w:i w:val="false"/>
          <w:color w:val="000000"/>
          <w:sz w:val="22"/>
        </w:rPr>
        <w:t>408.9.1 Windowed Buildings. Plans and specifications for windowed buildings or portions of windowed buildings shall include a rational analysis demonstrating a tenable environment for exiting from the smoke compartment in the area of fire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301.3(13)</w:t>
      </w:r>
      <w:r>
        <w:rPr>
          <w:rFonts w:ascii="Times New Roman" w:hAnsi="Times New Roman"/>
          <w:b w:val="false"/>
          <w:i w:val="false"/>
          <w:color w:val="000000"/>
          <w:sz w:val="22"/>
        </w:rPr>
        <w:t> </w:t>
      </w:r>
      <w:r>
        <w:rPr>
          <w:rFonts w:ascii="Times New Roman" w:hAnsi="Times New Roman"/>
          <w:b w:val="false"/>
          <w:i w:val="false"/>
          <w:color w:val="000000"/>
          <w:sz w:val="22"/>
        </w:rPr>
        <w:t>Delete section 423 in its entirety and insert in lieu thereof the following new section:</w:t>
      </w:r>
    </w:p>
    <w:p>
      <w:pPr>
        <w:spacing w:before="0" w:after="0"/>
        <w:ind w:left="120"/>
        <w:jc w:val="both"/>
      </w:pPr>
      <w:r>
        <w:rPr>
          <w:rFonts w:ascii="Times New Roman" w:hAnsi="Times New Roman"/>
          <w:b w:val="false"/>
          <w:i w:val="false"/>
          <w:color w:val="000000"/>
          <w:sz w:val="22"/>
        </w:rPr>
        <w:t>423 Storm Shelters.</w:t>
      </w:r>
    </w:p>
    <w:p>
      <w:pPr>
        <w:spacing w:before="0" w:after="0"/>
        <w:ind w:left="120"/>
        <w:jc w:val="both"/>
      </w:pPr>
      <w:r>
        <w:rPr>
          <w:rFonts w:ascii="Times New Roman" w:hAnsi="Times New Roman"/>
          <w:b w:val="false"/>
          <w:i w:val="false"/>
          <w:color w:val="000000"/>
          <w:sz w:val="22"/>
        </w:rPr>
        <w:t xml:space="preserve">423.1 General. Any storm shelter or weather safe room as defined by rule </w:t>
      </w:r>
      <w:hyperlink r:id="rId24">
        <w:r>
          <w:rPr>
            <w:rStyle w:val="Hyperlink"/>
            <w:rFonts w:ascii="Times New Roman" w:hAnsi="Times New Roman"/>
            <w:b w:val="false"/>
            <w:i w:val="false"/>
            <w:color w:val="000000"/>
            <w:sz w:val="22"/>
          </w:rPr>
          <w:t>661—315.2</w:t>
        </w:r>
      </w:hyperlink>
      <w:r>
        <w:rPr>
          <w:rFonts w:ascii="Times New Roman" w:hAnsi="Times New Roman"/>
          <w:b w:val="false"/>
          <w:i w:val="false"/>
          <w:color w:val="000000"/>
          <w:sz w:val="22"/>
        </w:rPr>
        <w:t>(103A) shall be designed and constructed in accordance with ICC 500-2014.</w:t>
      </w:r>
    </w:p>
    <w:p>
      <w:pPr>
        <w:spacing w:before="0" w:after="0"/>
        <w:ind w:left="120"/>
        <w:jc w:val="both"/>
      </w:pPr>
      <w:r>
        <w:rPr>
          <w:rFonts w:ascii="Times New Roman" w:hAnsi="Times New Roman"/>
          <w:b w:val="false"/>
          <w:i w:val="false"/>
          <w:color w:val="000000"/>
          <w:sz w:val="22"/>
        </w:rPr>
        <w:t xml:space="preserve">423.1.1 Scope. In accordance with </w:t>
      </w:r>
      <w:hyperlink r:id="rId25">
        <w:r>
          <w:rPr>
            <w:rStyle w:val="Hyperlink"/>
            <w:rFonts w:ascii="Times New Roman" w:hAnsi="Times New Roman"/>
            <w:b w:val="false"/>
            <w:i w:val="false"/>
            <w:color w:val="000000"/>
            <w:sz w:val="22"/>
          </w:rPr>
          <w:t>661—Chapter 315</w:t>
        </w:r>
      </w:hyperlink>
      <w:r>
        <w:rPr>
          <w:rFonts w:ascii="Times New Roman" w:hAnsi="Times New Roman"/>
          <w:b w:val="false"/>
          <w:i w:val="false"/>
          <w:color w:val="000000"/>
          <w:sz w:val="22"/>
        </w:rPr>
        <w:t>, this section applies to storm shelters and weather safe rooms constructed on or after January 1, 2011. This section does not require the construction of a weather safe room or rooms for any construction project but does establish standards for design and construction of storm shelters and weather safe rooms when their construction is required by another statute, federal statute or regulation, or is incorporated voluntarily in a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301.3(14)</w:t>
      </w:r>
      <w:r>
        <w:rPr>
          <w:rFonts w:ascii="Times New Roman" w:hAnsi="Times New Roman"/>
          <w:b w:val="false"/>
          <w:i w:val="false"/>
          <w:color w:val="000000"/>
          <w:sz w:val="22"/>
        </w:rPr>
        <w:t> </w:t>
      </w:r>
      <w:r>
        <w:rPr>
          <w:rFonts w:ascii="Times New Roman" w:hAnsi="Times New Roman"/>
          <w:b w:val="false"/>
          <w:i w:val="false"/>
          <w:color w:val="000000"/>
          <w:sz w:val="22"/>
        </w:rPr>
        <w:t>Delete section 903.2.8, except for subsections 903.2.8.1 through 903.2.8.4, and insert in lieu thereof the following new section:</w:t>
      </w:r>
    </w:p>
    <w:p>
      <w:pPr>
        <w:spacing w:before="0" w:after="0"/>
        <w:ind w:left="120"/>
        <w:jc w:val="both"/>
      </w:pPr>
      <w:r>
        <w:rPr>
          <w:rFonts w:ascii="Times New Roman" w:hAnsi="Times New Roman"/>
          <w:b w:val="false"/>
          <w:i w:val="false"/>
          <w:color w:val="000000"/>
          <w:sz w:val="22"/>
        </w:rPr>
        <w:t>903.2.8 Group R. An automatic sprinkler system installed in accordance with section 903.3 shall be provided throughout all buildings with a Group R fire area.</w:t>
      </w:r>
    </w:p>
    <w:p>
      <w:pPr>
        <w:spacing w:before="0" w:after="0"/>
        <w:ind w:left="120"/>
        <w:jc w:val="both"/>
      </w:pPr>
      <w:r>
        <w:rPr>
          <w:rFonts w:ascii="Times New Roman" w:hAnsi="Times New Roman"/>
          <w:b w:val="false"/>
          <w:i w:val="false"/>
          <w:color w:val="000000"/>
          <w:sz w:val="22"/>
        </w:rPr>
        <w:t>Exception: Cabin buildings that are located in remote areas without a sufficient municipal water supply for design of a fire sprinkler system and that meet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more than one 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more than 750 square feet in floor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Fuel-fired heating equipment and other fuel-fired appliances are separated from sleeping areas by a one-hour fire-rated assembly.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Provided with fire alarm and smoke alarm systems as required by section 907 for R-1 occupancies.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Basements are not allowed.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Maintain a fire separation of 20 feet from any other building or structure.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Comply with all applicable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301.3(15)</w:t>
      </w:r>
      <w:r>
        <w:rPr>
          <w:rFonts w:ascii="Times New Roman" w:hAnsi="Times New Roman"/>
          <w:b w:val="false"/>
          <w:i w:val="false"/>
          <w:color w:val="000000"/>
          <w:sz w:val="22"/>
        </w:rPr>
        <w:t> </w:t>
      </w:r>
      <w:r>
        <w:rPr>
          <w:rFonts w:ascii="Times New Roman" w:hAnsi="Times New Roman"/>
          <w:b w:val="false"/>
          <w:i w:val="false"/>
          <w:color w:val="000000"/>
          <w:sz w:val="22"/>
        </w:rPr>
        <w:t>Delete section 907.2.3 and insert in lieu thereof the following new section:</w:t>
      </w:r>
    </w:p>
    <w:p>
      <w:pPr>
        <w:spacing w:before="0" w:after="0"/>
        <w:ind w:left="120"/>
        <w:jc w:val="both"/>
      </w:pPr>
      <w:r>
        <w:rPr>
          <w:rFonts w:ascii="Times New Roman" w:hAnsi="Times New Roman"/>
          <w:b w:val="false"/>
          <w:i w:val="false"/>
          <w:color w:val="000000"/>
          <w:sz w:val="22"/>
        </w:rPr>
        <w:t>907.2.3 Group E. In the absence of a complete automatic sprinkler system, a complete automatic detection system utilizing an emergency voice/alarm communication system shall be installed throughout the entire Group E occupancy. A Group E occupancy with a complete automatic sprinkler system shall be provided with a fire alarm system utilizing an emergency voice/alarm communication system in compliance with section 907.5.2.2 and installed in accordance with section 907.6. As a minimum, smoke detection shall be provided in corridors at a maximum spacing of 30 feet on center, and heat or smoke detection shall be provided in any hazardous or nonoccupied areas.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1. Group E occupancies with an occupant load of less than 50.</w:t>
      </w:r>
    </w:p>
    <w:p>
      <w:pPr>
        <w:spacing w:before="0" w:after="0"/>
        <w:ind w:left="120"/>
        <w:jc w:val="both"/>
      </w:pPr>
      <w:r>
        <w:rPr>
          <w:rFonts w:ascii="Times New Roman" w:hAnsi="Times New Roman"/>
          <w:b w:val="false"/>
          <w:i w:val="false"/>
          <w:color w:val="000000"/>
          <w:sz w:val="22"/>
        </w:rPr>
        <w:t>2. Manual fire alarm boxes are not required in Group E occupancies where all of the following apply:</w:t>
      </w:r>
    </w:p>
    <w:p>
      <w:pPr>
        <w:spacing w:before="0" w:after="0"/>
        <w:ind w:left="120"/>
        <w:jc w:val="both"/>
      </w:pPr>
      <w:r>
        <w:rPr>
          <w:rFonts w:ascii="Times New Roman" w:hAnsi="Times New Roman"/>
          <w:b w:val="false"/>
          <w:i w:val="false"/>
          <w:color w:val="000000"/>
          <w:sz w:val="22"/>
        </w:rPr>
        <w:t>2.1. Interior corridors are protected by smoke detectors with alarm verification.</w:t>
      </w:r>
    </w:p>
    <w:p>
      <w:pPr>
        <w:spacing w:before="0" w:after="0"/>
        <w:ind w:left="120"/>
        <w:jc w:val="both"/>
      </w:pPr>
      <w:r>
        <w:rPr>
          <w:rFonts w:ascii="Times New Roman" w:hAnsi="Times New Roman"/>
          <w:b w:val="false"/>
          <w:i w:val="false"/>
          <w:color w:val="000000"/>
          <w:sz w:val="22"/>
        </w:rPr>
        <w:t>2.2. Auditoriums, cafeterias, gymnasiums and the like are protected by heat detectors or other approved detection devices.</w:t>
      </w:r>
    </w:p>
    <w:p>
      <w:pPr>
        <w:spacing w:before="0" w:after="0"/>
        <w:ind w:left="120"/>
        <w:jc w:val="both"/>
      </w:pPr>
      <w:r>
        <w:rPr>
          <w:rFonts w:ascii="Times New Roman" w:hAnsi="Times New Roman"/>
          <w:b w:val="false"/>
          <w:i w:val="false"/>
          <w:color w:val="000000"/>
          <w:sz w:val="22"/>
        </w:rPr>
        <w:t>2.3. Shops and laboratories involving dusts or vapors are protected by heat detectors or other approved detection devices.</w:t>
      </w:r>
    </w:p>
    <w:p>
      <w:pPr>
        <w:spacing w:before="0" w:after="0"/>
        <w:ind w:left="120"/>
        <w:jc w:val="both"/>
      </w:pPr>
      <w:r>
        <w:rPr>
          <w:rFonts w:ascii="Times New Roman" w:hAnsi="Times New Roman"/>
          <w:b w:val="false"/>
          <w:i w:val="false"/>
          <w:color w:val="000000"/>
          <w:sz w:val="22"/>
        </w:rPr>
        <w:t>2.4. Off-premises monitoring is provided.</w:t>
      </w:r>
    </w:p>
    <w:p>
      <w:pPr>
        <w:spacing w:before="0" w:after="0"/>
        <w:ind w:left="120"/>
        <w:jc w:val="both"/>
      </w:pPr>
      <w:r>
        <w:rPr>
          <w:rFonts w:ascii="Times New Roman" w:hAnsi="Times New Roman"/>
          <w:b w:val="false"/>
          <w:i w:val="false"/>
          <w:color w:val="000000"/>
          <w:sz w:val="22"/>
        </w:rPr>
        <w:t>2.5. The capability to activate the evacuation signal from a central point is provided.</w:t>
      </w:r>
    </w:p>
    <w:p>
      <w:pPr>
        <w:spacing w:before="0" w:after="0"/>
        <w:ind w:left="120"/>
        <w:jc w:val="both"/>
      </w:pPr>
      <w:r>
        <w:rPr>
          <w:rFonts w:ascii="Times New Roman" w:hAnsi="Times New Roman"/>
          <w:b w:val="false"/>
          <w:i w:val="false"/>
          <w:color w:val="000000"/>
          <w:sz w:val="22"/>
        </w:rPr>
        <w:t>2.6. In buildings where normally occupied spaces are provided with a two-way communication system between such spaces and a constantly attended receiving station from which a general evacuation alarm can be sounded, except in locations specifically designated by the fire code official.</w:t>
      </w:r>
    </w:p>
    <w:p>
      <w:pPr>
        <w:spacing w:before="0" w:after="0"/>
        <w:ind w:left="120"/>
        <w:jc w:val="both"/>
      </w:pPr>
      <w:r>
        <w:rPr>
          <w:rFonts w:ascii="Times New Roman" w:hAnsi="Times New Roman"/>
          <w:b w:val="false"/>
          <w:i w:val="false"/>
          <w:color w:val="000000"/>
          <w:sz w:val="22"/>
        </w:rPr>
        <w:t>3. Manual fire alarm boxes shall not be required in Group E occupancies where the building is equipped throughout with an approved automatic sprinkler system, the notification appliances will activate on sprinkler water flow, and manual activation is provided from a normally occupied location.</w:t>
      </w:r>
    </w:p>
    <w:p>
      <w:pPr>
        <w:spacing w:before="0" w:after="0"/>
        <w:ind w:left="120"/>
        <w:jc w:val="both"/>
      </w:pPr>
      <w:r>
        <w:rPr>
          <w:rFonts w:ascii="Times New Roman" w:hAnsi="Times New Roman"/>
          <w:b w:val="false"/>
          <w:i w:val="false"/>
          <w:color w:val="000000"/>
          <w:sz w:val="22"/>
        </w:rPr>
        <w:t>4. Emergency voice/alarm communication systems meeting the requirements of section 907.5.2.2 and installed in accordance with section 907.6 shall not be required in Group E occupancies with occupant loads of 100 or less, provided that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301.3(16)</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1003.8:</w:t>
      </w:r>
    </w:p>
    <w:p>
      <w:pPr>
        <w:spacing w:before="0" w:after="0"/>
        <w:ind w:left="120"/>
        <w:jc w:val="both"/>
      </w:pPr>
      <w:r>
        <w:rPr>
          <w:rFonts w:ascii="Times New Roman" w:hAnsi="Times New Roman"/>
          <w:b w:val="false"/>
          <w:i w:val="false"/>
          <w:color w:val="000000"/>
          <w:sz w:val="22"/>
        </w:rPr>
        <w:t>1003.8 Frost Protection. Exterior landings at doors shall be provided with frost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301.3(17)</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1027.5.1:</w:t>
      </w:r>
    </w:p>
    <w:p>
      <w:pPr>
        <w:spacing w:before="0" w:after="0"/>
        <w:ind w:left="120"/>
        <w:jc w:val="both"/>
      </w:pPr>
      <w:r>
        <w:rPr>
          <w:rFonts w:ascii="Times New Roman" w:hAnsi="Times New Roman"/>
          <w:b w:val="false"/>
          <w:i w:val="false"/>
          <w:color w:val="000000"/>
          <w:sz w:val="22"/>
        </w:rPr>
        <w:t>1027.5.1 Exit Discharge Pathways. Exit discharge pathways shall be paved from all exits of the building to the public 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301.3(18)</w:t>
      </w:r>
      <w:r>
        <w:rPr>
          <w:rFonts w:ascii="Times New Roman" w:hAnsi="Times New Roman"/>
          <w:b w:val="false"/>
          <w:i w:val="false"/>
          <w:color w:val="000000"/>
          <w:sz w:val="22"/>
        </w:rPr>
        <w:t> </w:t>
      </w:r>
      <w:r>
        <w:rPr>
          <w:rFonts w:ascii="Times New Roman" w:hAnsi="Times New Roman"/>
          <w:b w:val="false"/>
          <w:i w:val="false"/>
          <w:color w:val="000000"/>
          <w:sz w:val="22"/>
        </w:rPr>
        <w:t>Delete section 1029.1.1 and insert in lieu thereof the following new section:</w:t>
      </w:r>
    </w:p>
    <w:p>
      <w:pPr>
        <w:spacing w:before="0" w:after="0"/>
        <w:ind w:left="120"/>
        <w:jc w:val="both"/>
      </w:pPr>
      <w:r>
        <w:rPr>
          <w:rFonts w:ascii="Times New Roman" w:hAnsi="Times New Roman"/>
          <w:b w:val="false"/>
          <w:i w:val="false"/>
          <w:color w:val="000000"/>
          <w:sz w:val="22"/>
        </w:rPr>
        <w:t>1029.1.1 Bleachers, grandstands, and folding and telescopic seating that are not building elements shall comply with ICC-300, Standard for Bleachers, Folding and Telescopic Seating, and Grandstands, 2012 edition, with the following amendments to ICC-300: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Delete section 105.2 and insert in lieu thereof the following new section:</w:t>
      </w:r>
    </w:p>
    <w:p>
      <w:pPr>
        <w:spacing w:before="0" w:after="0"/>
        <w:ind w:left="120"/>
        <w:jc w:val="both"/>
      </w:pPr>
      <w:r>
        <w:rPr>
          <w:rFonts w:ascii="Times New Roman" w:hAnsi="Times New Roman"/>
          <w:b w:val="false"/>
          <w:i w:val="false"/>
          <w:color w:val="000000"/>
          <w:sz w:val="22"/>
        </w:rPr>
        <w:t>105.2 Yearly inspection required. The owner shall cause all bleachers and folding and telescopic seating installed on or after December 1, 2011, to be inspected at least once a year in order to verify that the structure is maintained in compliance with the provisions of this standard. All folding and telescopic seating shall also be inspected to evaluate compliance with the manufacturer’s installation and operational instructions during the opening and closing of such seating. Any inspection conducted in compliance with this section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identity or employment of the person conducting the inspection unless otherwise provided by law. The owner shall maintain documentation of the required annual inspections, which shall show the date and name of the person conducting the inspection and shall be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section 501.2 and insert in lieu thereof the following new section:</w:t>
      </w:r>
    </w:p>
    <w:p>
      <w:pPr>
        <w:spacing w:before="0" w:after="0"/>
        <w:ind w:left="120"/>
        <w:jc w:val="both"/>
      </w:pPr>
      <w:r>
        <w:rPr>
          <w:rFonts w:ascii="Times New Roman" w:hAnsi="Times New Roman"/>
          <w:b w:val="false"/>
          <w:i w:val="false"/>
          <w:color w:val="000000"/>
          <w:sz w:val="22"/>
        </w:rPr>
        <w:t>501.2 Inspections. All tiered seating that was installed prior to December 1, 2011, shall be inspected at least once a year. The required inspection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identity or employment of the person conducting the inspection unless otherwise provided by law. All folding and telescopic seating shall be inspected to evaluate compliance with the manufacturer’s installation and operational instructions and shall be inspected during the opening and closing of such seating. The owner shall maintain documentation of the required annual inspections, which shall show the date and name of the person conducting the inspection and shall be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301.3(19)</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1100:</w:t>
      </w:r>
    </w:p>
    <w:p>
      <w:pPr>
        <w:spacing w:before="0" w:after="0"/>
        <w:ind w:left="120"/>
        <w:jc w:val="both"/>
      </w:pPr>
      <w:r>
        <w:rPr>
          <w:rFonts w:ascii="Times New Roman" w:hAnsi="Times New Roman"/>
          <w:b w:val="false"/>
          <w:i w:val="false"/>
          <w:color w:val="000000"/>
          <w:sz w:val="22"/>
        </w:rPr>
        <w:t xml:space="preserve">1100. Any building or facility which is in compliance with the applicable requirements of </w:t>
      </w:r>
      <w:hyperlink r:id="rId26">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 xml:space="preserve"> shall be deemed to be in compliance with any applicable requirements contained in the International Building Code concerning accessibility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301.3(20)</w:t>
      </w:r>
      <w:r>
        <w:rPr>
          <w:rFonts w:ascii="Times New Roman" w:hAnsi="Times New Roman"/>
          <w:b w:val="false"/>
          <w:i w:val="false"/>
          <w:color w:val="000000"/>
          <w:sz w:val="22"/>
        </w:rPr>
        <w:t> </w:t>
      </w:r>
      <w:r>
        <w:rPr>
          <w:rFonts w:ascii="Times New Roman" w:hAnsi="Times New Roman"/>
          <w:b w:val="false"/>
          <w:i w:val="false"/>
          <w:color w:val="000000"/>
          <w:sz w:val="22"/>
        </w:rPr>
        <w:t>Delete chapter 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301.3(21)</w:t>
      </w:r>
      <w:r>
        <w:rPr>
          <w:rFonts w:ascii="Times New Roman" w:hAnsi="Times New Roman"/>
          <w:b w:val="false"/>
          <w:i w:val="false"/>
          <w:color w:val="000000"/>
          <w:sz w:val="22"/>
        </w:rPr>
        <w:t> </w:t>
      </w:r>
      <w:r>
        <w:rPr>
          <w:rFonts w:ascii="Times New Roman" w:hAnsi="Times New Roman"/>
          <w:b w:val="false"/>
          <w:i w:val="false"/>
          <w:color w:val="000000"/>
          <w:sz w:val="22"/>
        </w:rPr>
        <w:t>Amend section 3001.2 by adding the following new unnumbered paragraph after the introductory paragraph:</w:t>
      </w:r>
    </w:p>
    <w:p>
      <w:pPr>
        <w:spacing w:before="0" w:after="0"/>
        <w:ind w:left="120"/>
        <w:jc w:val="both"/>
      </w:pPr>
      <w:r>
        <w:rPr>
          <w:rFonts w:ascii="Times New Roman" w:hAnsi="Times New Roman"/>
          <w:b w:val="false"/>
          <w:i w:val="false"/>
          <w:color w:val="000000"/>
          <w:sz w:val="22"/>
        </w:rPr>
        <w:t xml:space="preserve">Notwithstanding the references in Chapter 35 to editions of national standards adopted in this section, any editions of these standards adopted by the elevator safety board in </w:t>
      </w:r>
      <w:hyperlink r:id="rId27">
        <w:r>
          <w:rPr>
            <w:rStyle w:val="Hyperlink"/>
            <w:rFonts w:ascii="Times New Roman" w:hAnsi="Times New Roman"/>
            <w:b w:val="false"/>
            <w:i w:val="false"/>
            <w:color w:val="000000"/>
            <w:sz w:val="22"/>
          </w:rPr>
          <w:t>875—Chapter 72</w:t>
        </w:r>
      </w:hyperlink>
      <w:r>
        <w:rPr>
          <w:rFonts w:ascii="Times New Roman" w:hAnsi="Times New Roman"/>
          <w:b w:val="false"/>
          <w:i w:val="false"/>
          <w:color w:val="000000"/>
          <w:sz w:val="22"/>
        </w:rPr>
        <w:t xml:space="preserve"> are hereby adopted by reference. If a standard is adopted by reference in this section and there is no adoption by reference of the same standard in </w:t>
      </w:r>
      <w:hyperlink r:id="rId28">
        <w:r>
          <w:rPr>
            <w:rStyle w:val="Hyperlink"/>
            <w:rFonts w:ascii="Times New Roman" w:hAnsi="Times New Roman"/>
            <w:b w:val="false"/>
            <w:i w:val="false"/>
            <w:color w:val="000000"/>
            <w:sz w:val="22"/>
          </w:rPr>
          <w:t>875—Chapter 72</w:t>
        </w:r>
      </w:hyperlink>
      <w:r>
        <w:rPr>
          <w:rFonts w:ascii="Times New Roman" w:hAnsi="Times New Roman"/>
          <w:b w:val="false"/>
          <w:i w:val="false"/>
          <w:color w:val="000000"/>
          <w:sz w:val="22"/>
        </w:rPr>
        <w:t>, the adoption by reference in this section is of the edition identified in Chapter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301.3(22)</w:t>
      </w:r>
      <w:r>
        <w:rPr>
          <w:rFonts w:ascii="Times New Roman" w:hAnsi="Times New Roman"/>
          <w:b w:val="false"/>
          <w:i w:val="false"/>
          <w:color w:val="000000"/>
          <w:sz w:val="22"/>
        </w:rPr>
        <w:t> </w:t>
      </w:r>
      <w:r>
        <w:rPr>
          <w:rFonts w:ascii="Times New Roman" w:hAnsi="Times New Roman"/>
          <w:b w:val="false"/>
          <w:i w:val="false"/>
          <w:color w:val="000000"/>
          <w:sz w:val="22"/>
        </w:rPr>
        <w:t>Delete appendices A, B, D, E, F, G, H, I, J, K, L and 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301.3(23)</w:t>
      </w:r>
      <w:r>
        <w:rPr>
          <w:rFonts w:ascii="Times New Roman" w:hAnsi="Times New Roman"/>
          <w:b w:val="false"/>
          <w:i w:val="false"/>
          <w:color w:val="000000"/>
          <w:sz w:val="22"/>
        </w:rPr>
        <w:t> </w:t>
      </w:r>
      <w:r>
        <w:rPr>
          <w:rFonts w:ascii="Times New Roman" w:hAnsi="Times New Roman"/>
          <w:b w:val="false"/>
          <w:i w:val="false"/>
          <w:color w:val="000000"/>
          <w:sz w:val="22"/>
        </w:rPr>
        <w:t>Retain Appendix C, Group U Agricultural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301.3(24)</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29">
        <w:r>
          <w:rPr>
            <w:rStyle w:val="Hyperlink"/>
            <w:rFonts w:ascii="Times New Roman" w:hAnsi="Times New Roman"/>
            <w:b w:val="false"/>
            <w:i w:val="false"/>
            <w:color w:val="000000"/>
            <w:sz w:val="22"/>
          </w:rPr>
          <w:t>661—301.9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301.3(26)</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301.3(27)</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30">
        <w:r>
          <w:rPr>
            <w:rStyle w:val="Hyperlink"/>
            <w:rFonts w:ascii="Times New Roman" w:hAnsi="Times New Roman"/>
            <w:b w:val="false"/>
            <w:i w:val="false"/>
            <w:color w:val="000000"/>
            <w:sz w:val="22"/>
          </w:rPr>
          <w:t>661—301.8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301.3(28)</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Energy Conservation Code” and insert in lieu thereof “</w:t>
      </w:r>
      <w:hyperlink r:id="rId31">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301.3(29)</w:t>
      </w:r>
      <w:r>
        <w:rPr>
          <w:rFonts w:ascii="Times New Roman" w:hAnsi="Times New Roman"/>
          <w:b w:val="false"/>
          <w:i w:val="false"/>
          <w:color w:val="000000"/>
          <w:sz w:val="22"/>
        </w:rPr>
        <w:t> </w:t>
      </w:r>
      <w:r>
        <w:rPr>
          <w:rFonts w:ascii="Times New Roman" w:hAnsi="Times New Roman"/>
          <w:b w:val="false"/>
          <w:i/>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as defined in rule </w:t>
      </w:r>
      <w:hyperlink r:id="rId32">
        <w:r>
          <w:rPr>
            <w:rStyle w:val="Hyperlink"/>
            <w:rFonts w:ascii="Times New Roman" w:hAnsi="Times New Roman"/>
            <w:b w:val="false"/>
            <w:i w:val="false"/>
            <w:color w:val="000000"/>
            <w:sz w:val="22"/>
          </w:rPr>
          <w:t>661—205.1</w:t>
        </w:r>
      </w:hyperlink>
      <w:r>
        <w:rPr>
          <w:rFonts w:ascii="Times New Roman" w:hAnsi="Times New Roman"/>
          <w:b w:val="false"/>
          <w:i w:val="false"/>
          <w:color w:val="000000"/>
          <w:sz w:val="22"/>
        </w:rPr>
        <w:t xml:space="preserve">(100), that is required to meet the provisions of the state building code shall be deemed to be in compliance with the fire safety requirements of the state building code if the hospital is in compliance with the provisions of rule </w:t>
      </w:r>
      <w:hyperlink r:id="rId33">
        <w:r>
          <w:rPr>
            <w:rStyle w:val="Hyperlink"/>
            <w:rFonts w:ascii="Times New Roman" w:hAnsi="Times New Roman"/>
            <w:b w:val="false"/>
            <w:i w:val="false"/>
            <w:color w:val="000000"/>
            <w:sz w:val="22"/>
          </w:rPr>
          <w:t>661—205.5</w:t>
        </w:r>
      </w:hyperlink>
      <w:r>
        <w:rPr>
          <w:rFonts w:ascii="Times New Roman" w:hAnsi="Times New Roman"/>
          <w:b w:val="false"/>
          <w:i w:val="false"/>
          <w:color w:val="000000"/>
          <w:sz w:val="22"/>
        </w:rPr>
        <w:t>(100). In any other case in which an applicable requirement of the Life Safety Code, 2000 edition, is inconsistent with an applicable requirement of the state building code, the hospital shall be deemed to be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as defined in rule </w:t>
      </w:r>
      <w:hyperlink r:id="rId34">
        <w:r>
          <w:rPr>
            <w:rStyle w:val="Hyperlink"/>
            <w:rFonts w:ascii="Times New Roman" w:hAnsi="Times New Roman"/>
            <w:b w:val="false"/>
            <w:i w:val="false"/>
            <w:color w:val="000000"/>
            <w:sz w:val="22"/>
          </w:rPr>
          <w:t>661—205.1</w:t>
        </w:r>
      </w:hyperlink>
      <w:r>
        <w:rPr>
          <w:rFonts w:ascii="Times New Roman" w:hAnsi="Times New Roman"/>
          <w:b w:val="false"/>
          <w:i w:val="false"/>
          <w:color w:val="000000"/>
          <w:sz w:val="22"/>
        </w:rPr>
        <w:t xml:space="preserve">(100), that is required to meet the provisions of the state building code shall be deemed to be in compliance with the fire safety requirements of the state building code if the nursing facility or hospice is in compliance with the provisions of rule </w:t>
      </w:r>
      <w:hyperlink r:id="rId35">
        <w:r>
          <w:rPr>
            <w:rStyle w:val="Hyperlink"/>
            <w:rFonts w:ascii="Times New Roman" w:hAnsi="Times New Roman"/>
            <w:b w:val="false"/>
            <w:i w:val="false"/>
            <w:color w:val="000000"/>
            <w:sz w:val="22"/>
          </w:rPr>
          <w:t>661—205.10</w:t>
        </w:r>
      </w:hyperlink>
      <w:r>
        <w:rPr>
          <w:rFonts w:ascii="Times New Roman" w:hAnsi="Times New Roman"/>
          <w:b w:val="false"/>
          <w:i w:val="false"/>
          <w:color w:val="000000"/>
          <w:sz w:val="22"/>
        </w:rPr>
        <w:t>(100). In any other case in which an applicable requirement of the Life Safety Code, 2000 edition, is inconsistent with an applicable requirement of the state building code, the nursing facility or hospice shall be deemed to be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for the mentally retarded, as defined in rule </w:t>
      </w:r>
      <w:hyperlink r:id="rId36">
        <w:r>
          <w:rPr>
            <w:rStyle w:val="Hyperlink"/>
            <w:rFonts w:ascii="Times New Roman" w:hAnsi="Times New Roman"/>
            <w:b w:val="false"/>
            <w:i w:val="false"/>
            <w:color w:val="000000"/>
            <w:sz w:val="22"/>
          </w:rPr>
          <w:t>661—205.1</w:t>
        </w:r>
      </w:hyperlink>
      <w:r>
        <w:rPr>
          <w:rFonts w:ascii="Times New Roman" w:hAnsi="Times New Roman"/>
          <w:b w:val="false"/>
          <w:i w:val="false"/>
          <w:color w:val="000000"/>
          <w:sz w:val="22"/>
        </w:rPr>
        <w:t xml:space="preserve">(100), or intermediate care facility for persons with mental illness that is required to meet the provisions of the state building code shall be deemed to be in compliance with the fire safety requirements of the state building code if the intermediate care facility is in compliance with the provisions of rule </w:t>
      </w:r>
      <w:hyperlink r:id="rId37">
        <w:r>
          <w:rPr>
            <w:rStyle w:val="Hyperlink"/>
            <w:rFonts w:ascii="Times New Roman" w:hAnsi="Times New Roman"/>
            <w:b w:val="false"/>
            <w:i w:val="false"/>
            <w:color w:val="000000"/>
            <w:sz w:val="22"/>
          </w:rPr>
          <w:t>661—205.15</w:t>
        </w:r>
      </w:hyperlink>
      <w:r>
        <w:rPr>
          <w:rFonts w:ascii="Times New Roman" w:hAnsi="Times New Roman"/>
          <w:b w:val="false"/>
          <w:i w:val="false"/>
          <w:color w:val="000000"/>
          <w:sz w:val="22"/>
        </w:rPr>
        <w:t>(100). In any other case in which an applicable requirement of the Life Safety Code, 2000 edition, is inconsistent with an applicable requirement of the state building code, the intermediate care facility shall be deemed to be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health care facility, as defined in rule </w:t>
      </w:r>
      <w:hyperlink r:id="rId38">
        <w:r>
          <w:rPr>
            <w:rStyle w:val="Hyperlink"/>
            <w:rFonts w:ascii="Times New Roman" w:hAnsi="Times New Roman"/>
            <w:b w:val="false"/>
            <w:i w:val="false"/>
            <w:color w:val="000000"/>
            <w:sz w:val="22"/>
          </w:rPr>
          <w:t>661—205.1</w:t>
        </w:r>
      </w:hyperlink>
      <w:r>
        <w:rPr>
          <w:rFonts w:ascii="Times New Roman" w:hAnsi="Times New Roman"/>
          <w:b w:val="false"/>
          <w:i w:val="false"/>
          <w:color w:val="000000"/>
          <w:sz w:val="22"/>
        </w:rPr>
        <w:t xml:space="preserve">(100), that is required to meet the provisions of the state building code shall be deemed to be in compliance with the fire safety requirements of the state building code if the ambulatory health care facility is in compliance with the provisions of rule </w:t>
      </w:r>
      <w:hyperlink r:id="rId39">
        <w:r>
          <w:rPr>
            <w:rStyle w:val="Hyperlink"/>
            <w:rFonts w:ascii="Times New Roman" w:hAnsi="Times New Roman"/>
            <w:b w:val="false"/>
            <w:i w:val="false"/>
            <w:color w:val="000000"/>
            <w:sz w:val="22"/>
          </w:rPr>
          <w:t>661—205.20</w:t>
        </w:r>
      </w:hyperlink>
      <w:r>
        <w:rPr>
          <w:rFonts w:ascii="Times New Roman" w:hAnsi="Times New Roman"/>
          <w:b w:val="false"/>
          <w:i w:val="false"/>
          <w:color w:val="000000"/>
          <w:sz w:val="22"/>
        </w:rPr>
        <w:t>(100). In any other case in which an applicable requirement of the Life Safety Code, 2000 edition, is inconsistent with an applicable requirement of the state building code, the ambulatory health care facility shall be deemed to be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building code shall be deemed to be in compliance with the provisions of the state building code if the institution is in compliance with the provisions of rule </w:t>
      </w:r>
      <w:hyperlink r:id="rId40">
        <w:r>
          <w:rPr>
            <w:rStyle w:val="Hyperlink"/>
            <w:rFonts w:ascii="Times New Roman" w:hAnsi="Times New Roman"/>
            <w:b w:val="false"/>
            <w:i w:val="false"/>
            <w:color w:val="000000"/>
            <w:sz w:val="22"/>
          </w:rPr>
          <w:t>661—205.25</w:t>
        </w:r>
      </w:hyperlink>
      <w:r>
        <w:rPr>
          <w:rFonts w:ascii="Times New Roman" w:hAnsi="Times New Roman"/>
          <w:b w:val="false"/>
          <w:i w:val="false"/>
          <w:color w:val="000000"/>
          <w:sz w:val="22"/>
        </w:rPr>
        <w:t>(100). In any other case in which an applicable requirement of the Life Safety Code, 2000 edition, is inconsistent with an applicable requirement of the state building code, the religious nonmedical health care institution shall be deemed to be in compliance with the state building code requirement if the Life Safety Code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9770B</w:t>
      </w:r>
      <w:r>
        <w:rPr>
          <w:rFonts w:ascii="Times New Roman" w:hAnsi="Times New Roman"/>
          <w:b w:val="false"/>
          <w:i w:val="false"/>
          <w:color w:val="000000"/>
          <w:sz w:val="16"/>
        </w:rPr>
        <w:t>, IAB 10/5/11, effective 12/1/11</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661—301.4</w:t>
      </w:r>
      <w:r>
        <w:rPr>
          <w:rFonts w:ascii="Times New Roman" w:hAnsi="Times New Roman"/>
          <w:b/>
          <w:i w:val="false"/>
          <w:color w:val="000000"/>
          <w:sz w:val="22"/>
        </w:rPr>
        <w:t xml:space="preserve">(103A) </w:t>
      </w:r>
      <w:r>
        <w:rPr>
          <w:rFonts w:ascii="Times New Roman" w:hAnsi="Times New Roman"/>
          <w:b/>
          <w:i w:val="false"/>
          <w:color w:val="000000"/>
          <w:sz w:val="22"/>
        </w:rPr>
        <w:t xml:space="preserve">Mechanical requirements. </w:t>
      </w:r>
      <w:r>
        <w:rPr>
          <w:rFonts w:ascii="Times New Roman" w:hAnsi="Times New Roman"/>
          <w:b w:val="false"/>
          <w:i w:val="false"/>
          <w:color w:val="000000"/>
          <w:sz w:val="22"/>
        </w:rPr>
        <w:t xml:space="preserve">The provisions of the state mechanical code, </w:t>
      </w:r>
      <w:hyperlink r:id="rId41">
        <w:r>
          <w:rPr>
            <w:rStyle w:val="Hyperlink"/>
            <w:rFonts w:ascii="Times New Roman" w:hAnsi="Times New Roman"/>
            <w:b w:val="false"/>
            <w:i w:val="false"/>
            <w:color w:val="000000"/>
            <w:sz w:val="22"/>
          </w:rPr>
          <w:t>641—Chapter 61</w:t>
        </w:r>
      </w:hyperlink>
      <w:r>
        <w:rPr>
          <w:rFonts w:ascii="Times New Roman" w:hAnsi="Times New Roman"/>
          <w:b w:val="false"/>
          <w:i w:val="false"/>
          <w:color w:val="000000"/>
          <w:sz w:val="22"/>
        </w:rPr>
        <w:t xml:space="preserve">, as adopted and amended by the state plumbing and mechanical systems board pursuant to Iowa Code chapter </w:t>
      </w:r>
      <w:hyperlink r:id="rId4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are hereby adopted by reference as the requirements for mechanical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661—301.5</w:t>
      </w:r>
      <w:r>
        <w:rPr>
          <w:rFonts w:ascii="Times New Roman" w:hAnsi="Times New Roman"/>
          <w:b/>
          <w:i w:val="false"/>
          <w:color w:val="000000"/>
          <w:sz w:val="22"/>
        </w:rPr>
        <w:t xml:space="preserve">(103A) </w:t>
      </w:r>
      <w:r>
        <w:rPr>
          <w:rFonts w:ascii="Times New Roman" w:hAnsi="Times New Roman"/>
          <w:b/>
          <w:i w:val="false"/>
          <w:color w:val="000000"/>
          <w:sz w:val="22"/>
        </w:rPr>
        <w:t xml:space="preserve">Electrical requirements. </w:t>
      </w:r>
      <w:r>
        <w:rPr>
          <w:rFonts w:ascii="Times New Roman" w:hAnsi="Times New Roman"/>
          <w:b w:val="false"/>
          <w:i w:val="false"/>
          <w:color w:val="000000"/>
          <w:sz w:val="22"/>
        </w:rPr>
        <w:t xml:space="preserve">The provisions of the state electrical code, as adopted and amended in </w:t>
      </w:r>
      <w:hyperlink r:id="rId43">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 are hereby adopted by reference as the requirements for electrical installations.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4">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9826B</w:t>
      </w:r>
      <w:r>
        <w:rPr>
          <w:rFonts w:ascii="Times New Roman" w:hAnsi="Times New Roman"/>
          <w:b w:val="false"/>
          <w:i w:val="false"/>
          <w:color w:val="000000"/>
          <w:sz w:val="16"/>
        </w:rPr>
        <w:t>, IAB 11/2/11,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661—301.6</w:t>
      </w:r>
      <w:r>
        <w:rPr>
          <w:rFonts w:ascii="Times New Roman" w:hAnsi="Times New Roman"/>
          <w:b/>
          <w:i w:val="false"/>
          <w:color w:val="000000"/>
          <w:sz w:val="22"/>
        </w:rPr>
        <w:t xml:space="preserve">(103A) </w:t>
      </w:r>
      <w:r>
        <w:rPr>
          <w:rFonts w:ascii="Times New Roman" w:hAnsi="Times New Roman"/>
          <w:b/>
          <w:i w:val="false"/>
          <w:color w:val="000000"/>
          <w:sz w:val="22"/>
        </w:rPr>
        <w:t xml:space="preserve">Plumbing requirements. </w:t>
      </w:r>
      <w:r>
        <w:rPr>
          <w:rFonts w:ascii="Times New Roman" w:hAnsi="Times New Roman"/>
          <w:b w:val="false"/>
          <w:i w:val="false"/>
          <w:color w:val="000000"/>
          <w:sz w:val="22"/>
        </w:rPr>
        <w:t xml:space="preserve">Provisions of the state plumbing code, </w:t>
      </w:r>
      <w:hyperlink r:id="rId45">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xml:space="preserve">, adopted by the state plumbing and mechanical systems board pursuant to Iowa Code chapter </w:t>
      </w:r>
      <w:hyperlink r:id="rId4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apply to plumbing installations in this state.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Factory-built structures, as referenced by Iowa Code section </w:t>
      </w:r>
      <w:hyperlink r:id="rId47">
        <w:r>
          <w:rPr>
            <w:rStyle w:val="Hyperlink"/>
            <w:rFonts w:ascii="Times New Roman" w:hAnsi="Times New Roman"/>
            <w:b w:val="false"/>
            <w:i w:val="false"/>
            <w:color w:val="000000"/>
            <w:sz w:val="22"/>
          </w:rPr>
          <w:t>103A.10(3)</w:t>
        </w:r>
      </w:hyperlink>
      <w:r>
        <w:rPr>
          <w:rFonts w:ascii="Times New Roman" w:hAnsi="Times New Roman"/>
          <w:b w:val="false"/>
          <w:i w:val="false"/>
          <w:color w:val="000000"/>
          <w:sz w:val="22"/>
        </w:rPr>
        <w:t xml:space="preserve">, that contain plumbing installations are allowed to comply with either the state plumbing code or with the International Plumbing Code, 2015 edition, published by the International Code Council, 500 New Jersey Avenue NW, 6th Floor, Washington, D.C. 20001. The manufacturer’s data plate must indicate which plumbing code was utilized for compliance with this rule, as required by </w:t>
      </w:r>
      <w:hyperlink r:id="rId48">
        <w:r>
          <w:rPr>
            <w:rStyle w:val="Hyperlink"/>
            <w:rFonts w:ascii="Times New Roman" w:hAnsi="Times New Roman"/>
            <w:b w:val="false"/>
            <w:i w:val="false"/>
            <w:color w:val="000000"/>
            <w:sz w:val="22"/>
          </w:rPr>
          <w:t>661—paragraph 16.610(15)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xml:space="preserve">Private sewage disposal systems shall comply with </w:t>
      </w:r>
      <w:hyperlink r:id="rId49">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7/27/11</w:t>
      </w:r>
      <w:r>
        <w:rPr>
          <w:rFonts w:ascii="Times New Roman" w:hAnsi="Times New Roman"/>
          <w:b w:val="false"/>
          <w:i w:val="false"/>
          <w:color w:val="000000"/>
          <w:sz w:val="22"/>
        </w:rPr>
        <w:t>, effective 7/8/11.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301.6(2)</w:t>
      </w:r>
      <w:r>
        <w:rPr>
          <w:rFonts w:ascii="Times New Roman" w:hAnsi="Times New Roman"/>
          <w:b w:val="false"/>
          <w:i w:val="false"/>
          <w:color w:val="000000"/>
          <w:sz w:val="22"/>
        </w:rPr>
        <w:t> </w:t>
      </w:r>
      <w:r>
        <w:rPr>
          <w:rFonts w:ascii="Times New Roman" w:hAnsi="Times New Roman"/>
          <w:b w:val="false"/>
          <w:i w:val="false"/>
          <w:color w:val="000000"/>
          <w:sz w:val="22"/>
        </w:rPr>
        <w:t xml:space="preserve">Fuel gas piping shall comply with the requirements established in rule </w:t>
      </w:r>
      <w:hyperlink r:id="rId50">
        <w:r>
          <w:rPr>
            <w:rStyle w:val="Hyperlink"/>
            <w:rFonts w:ascii="Times New Roman" w:hAnsi="Times New Roman"/>
            <w:b w:val="false"/>
            <w:i w:val="false"/>
            <w:color w:val="000000"/>
            <w:sz w:val="22"/>
          </w:rPr>
          <w:t>661—301.9</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9627B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661—301.7</w:t>
      </w:r>
      <w:r>
        <w:rPr>
          <w:rFonts w:ascii="Times New Roman" w:hAnsi="Times New Roman"/>
          <w:b/>
          <w:i w:val="false"/>
          <w:color w:val="000000"/>
          <w:sz w:val="22"/>
        </w:rPr>
        <w:t xml:space="preserve">(103A) </w:t>
      </w:r>
      <w:r>
        <w:rPr>
          <w:rFonts w:ascii="Times New Roman" w:hAnsi="Times New Roman"/>
          <w:b/>
          <w:i w:val="false"/>
          <w:color w:val="000000"/>
          <w:sz w:val="22"/>
        </w:rPr>
        <w:t xml:space="preserve">Existing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“Existing building” means a building erected prior to May 18,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301.7(2)</w:t>
      </w:r>
      <w:r>
        <w:rPr>
          <w:rFonts w:ascii="Times New Roman" w:hAnsi="Times New Roman"/>
          <w:b w:val="false"/>
          <w:i w:val="false"/>
          <w:color w:val="000000"/>
          <w:sz w:val="22"/>
        </w:rPr>
        <w:t> </w:t>
      </w:r>
      <w:r>
        <w:rPr>
          <w:rFonts w:ascii="Times New Roman" w:hAnsi="Times New Roman"/>
          <w:b w:val="false"/>
          <w:i/>
          <w:color w:val="000000"/>
          <w:sz w:val="22"/>
        </w:rPr>
        <w:t xml:space="preserve">Adoption. </w:t>
      </w:r>
      <w:r>
        <w:rPr>
          <w:rFonts w:ascii="Times New Roman" w:hAnsi="Times New Roman"/>
          <w:b w:val="false"/>
          <w:i w:val="false"/>
          <w:color w:val="000000"/>
          <w:sz w:val="22"/>
        </w:rPr>
        <w:t>The provisions of the International Existing Building Code, 2015 edition, published by the International Code Council, 500 New Jersey Avenue NW, 6th Floor, Washington, D.C. 20001, are hereby adopted by reference as the requirements for repair, alteration, change of occupancy, addition, and relocation of existing buildings, with the following amendments:</w:t>
      </w:r>
    </w:p>
    <w:p>
      <w:pPr>
        <w:spacing w:before="0" w:after="0"/>
        <w:ind w:left="120"/>
        <w:jc w:val="both"/>
      </w:pP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Delete section 101.4.2 and insert in lieu thereof the following new section:</w:t>
      </w:r>
    </w:p>
    <w:p>
      <w:pPr>
        <w:spacing w:before="0" w:after="0"/>
        <w:ind w:left="120"/>
        <w:jc w:val="both"/>
      </w:pPr>
      <w:r>
        <w:rPr>
          <w:rFonts w:ascii="Times New Roman" w:hAnsi="Times New Roman"/>
          <w:b w:val="false"/>
          <w:i w:val="false"/>
          <w:color w:val="000000"/>
          <w:sz w:val="22"/>
        </w:rPr>
        <w:t>101.4.2 Buildings Previously Occupied. The legal occupancy of any structure existing on the date of adoption of this code shall be permitted to continue without change, except as specifically covered in this code or the state fire code, or as deemed necessary by the building code commissioner for the general safety and welfare of the occupants and the public.</w:t>
      </w:r>
    </w:p>
    <w:p>
      <w:pPr>
        <w:spacing w:before="0" w:after="0"/>
        <w:ind w:left="120"/>
        <w:jc w:val="both"/>
      </w:pPr>
      <w:r>
        <w:rPr>
          <w:rFonts w:ascii="Times New Roman" w:hAnsi="Times New Roman"/>
          <w:b w:val="false"/>
          <w:i w:val="false"/>
          <w:color w:val="000000"/>
          <w:sz w:val="22"/>
        </w:rPr>
        <w:t>Delete section 101.5.</w:t>
      </w:r>
    </w:p>
    <w:p>
      <w:pPr>
        <w:spacing w:before="0" w:after="0"/>
        <w:ind w:left="120"/>
        <w:jc w:val="both"/>
      </w:pPr>
      <w:r>
        <w:rPr>
          <w:rFonts w:ascii="Times New Roman" w:hAnsi="Times New Roman"/>
          <w:b w:val="false"/>
          <w:i w:val="false"/>
          <w:color w:val="000000"/>
          <w:sz w:val="22"/>
        </w:rPr>
        <w:t>Delete section 101.6.</w:t>
      </w:r>
    </w:p>
    <w:p>
      <w:pPr>
        <w:spacing w:before="0" w:after="0"/>
        <w:ind w:left="120"/>
        <w:jc w:val="both"/>
      </w:pPr>
      <w:r>
        <w:rPr>
          <w:rFonts w:ascii="Times New Roman" w:hAnsi="Times New Roman"/>
          <w:b w:val="false"/>
          <w:i w:val="false"/>
          <w:color w:val="000000"/>
          <w:sz w:val="22"/>
        </w:rPr>
        <w:t>Delete section 101.7.</w:t>
      </w:r>
    </w:p>
    <w:p>
      <w:pPr>
        <w:spacing w:before="0" w:after="0"/>
        <w:ind w:left="120"/>
        <w:jc w:val="both"/>
      </w:pPr>
      <w:r>
        <w:rPr>
          <w:rFonts w:ascii="Times New Roman" w:hAnsi="Times New Roman"/>
          <w:b w:val="false"/>
          <w:i w:val="false"/>
          <w:color w:val="000000"/>
          <w:sz w:val="22"/>
        </w:rPr>
        <w:t>Delete sections 103, 104, and 105 and sections therein.</w:t>
      </w:r>
    </w:p>
    <w:p>
      <w:pPr>
        <w:spacing w:before="0" w:after="0"/>
        <w:ind w:left="120"/>
        <w:jc w:val="both"/>
      </w:pPr>
      <w:r>
        <w:rPr>
          <w:rFonts w:ascii="Times New Roman" w:hAnsi="Times New Roman"/>
          <w:b w:val="false"/>
          <w:i w:val="false"/>
          <w:color w:val="000000"/>
          <w:sz w:val="22"/>
        </w:rPr>
        <w:t>Delete sections 106.1, 106.3, 106.4, 106.5, and 106.6.</w:t>
      </w:r>
    </w:p>
    <w:p>
      <w:pPr>
        <w:spacing w:before="0" w:after="0"/>
        <w:ind w:left="120"/>
        <w:jc w:val="both"/>
      </w:pPr>
      <w:r>
        <w:rPr>
          <w:rFonts w:ascii="Times New Roman" w:hAnsi="Times New Roman"/>
          <w:b w:val="false"/>
          <w:i w:val="false"/>
          <w:color w:val="000000"/>
          <w:sz w:val="22"/>
        </w:rPr>
        <w:t>Delete sections 108, 109, 110, 112, 113, 114, 115, 116 and 117 and sections therein.</w:t>
      </w:r>
    </w:p>
    <w:p>
      <w:pPr>
        <w:spacing w:before="0" w:after="0"/>
        <w:ind w:left="120"/>
        <w:jc w:val="both"/>
      </w:pPr>
      <w:r>
        <w:rPr>
          <w:rFonts w:ascii="Times New Roman" w:hAnsi="Times New Roman"/>
          <w:b w:val="false"/>
          <w:i w:val="false"/>
          <w:color w:val="000000"/>
          <w:sz w:val="22"/>
        </w:rPr>
        <w:t>Delete section 705.</w:t>
      </w:r>
    </w:p>
    <w:p>
      <w:pPr>
        <w:spacing w:before="0" w:after="0"/>
        <w:ind w:left="120"/>
        <w:jc w:val="both"/>
      </w:pPr>
      <w:r>
        <w:rPr>
          <w:rFonts w:ascii="Times New Roman" w:hAnsi="Times New Roman"/>
          <w:b w:val="false"/>
          <w:i w:val="false"/>
          <w:color w:val="000000"/>
          <w:sz w:val="22"/>
        </w:rPr>
        <w:t>Delete section 906.</w:t>
      </w:r>
    </w:p>
    <w:p>
      <w:pPr>
        <w:spacing w:before="0" w:after="0"/>
        <w:ind w:left="120"/>
        <w:jc w:val="both"/>
      </w:pPr>
      <w:r>
        <w:rPr>
          <w:rFonts w:ascii="Times New Roman" w:hAnsi="Times New Roman"/>
          <w:b w:val="false"/>
          <w:i w:val="false"/>
          <w:color w:val="000000"/>
          <w:sz w:val="22"/>
        </w:rPr>
        <w:t>Delete section 1012.8.</w:t>
      </w:r>
    </w:p>
    <w:p>
      <w:pPr>
        <w:spacing w:before="0" w:after="0"/>
        <w:ind w:left="120"/>
        <w:jc w:val="both"/>
      </w:pPr>
      <w:r>
        <w:rPr>
          <w:rFonts w:ascii="Times New Roman" w:hAnsi="Times New Roman"/>
          <w:b w:val="false"/>
          <w:i w:val="false"/>
          <w:color w:val="000000"/>
          <w:sz w:val="22"/>
        </w:rPr>
        <w:t>Delete section 1105.1.</w:t>
      </w:r>
    </w:p>
    <w:p>
      <w:pPr>
        <w:spacing w:before="0" w:after="0"/>
        <w:ind w:left="120"/>
        <w:jc w:val="both"/>
      </w:pPr>
      <w:r>
        <w:rPr>
          <w:rFonts w:ascii="Times New Roman" w:hAnsi="Times New Roman"/>
          <w:b w:val="false"/>
          <w:i w:val="false"/>
          <w:color w:val="000000"/>
          <w:sz w:val="22"/>
        </w:rPr>
        <w:t>Delete section 1205.15.</w:t>
      </w:r>
    </w:p>
    <w:p>
      <w:pPr>
        <w:spacing w:before="0" w:after="0"/>
        <w:ind w:left="120"/>
        <w:jc w:val="both"/>
      </w:pP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xml:space="preserve">Delete all references to the “International Fuel Gas Code” and insert in lieu thereof “rule </w:t>
      </w:r>
      <w:hyperlink r:id="rId51">
        <w:r>
          <w:rPr>
            <w:rStyle w:val="Hyperlink"/>
            <w:rFonts w:ascii="Times New Roman" w:hAnsi="Times New Roman"/>
            <w:b w:val="false"/>
            <w:i w:val="false"/>
            <w:color w:val="000000"/>
            <w:sz w:val="22"/>
          </w:rPr>
          <w:t>661—301.9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xml:space="preserve">Delete all references to the “International Building Code” and insert in lieu thereof “rule </w:t>
      </w:r>
      <w:hyperlink r:id="rId52">
        <w:r>
          <w:rPr>
            <w:rStyle w:val="Hyperlink"/>
            <w:rFonts w:ascii="Times New Roman" w:hAnsi="Times New Roman"/>
            <w:b w:val="false"/>
            <w:i w:val="false"/>
            <w:color w:val="000000"/>
            <w:sz w:val="22"/>
          </w:rPr>
          <w:t>661—301.3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xml:space="preserve">Delete all references to the “International Residential Code” and insert in lieu thereof “rule </w:t>
      </w:r>
      <w:hyperlink r:id="rId53">
        <w:r>
          <w:rPr>
            <w:rStyle w:val="Hyperlink"/>
            <w:rFonts w:ascii="Times New Roman" w:hAnsi="Times New Roman"/>
            <w:b w:val="false"/>
            <w:i w:val="false"/>
            <w:color w:val="000000"/>
            <w:sz w:val="22"/>
          </w:rPr>
          <w:t>661—301.8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Delete all references to the “International Fire Code” and insert in lieu thereof “state fire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661—301.8</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construction requirements. </w:t>
      </w:r>
      <w:r>
        <w:rPr>
          <w:rFonts w:ascii="Times New Roman" w:hAnsi="Times New Roman"/>
          <w:b w:val="false"/>
          <w:i w:val="false"/>
          <w:color w:val="000000"/>
          <w:sz w:val="22"/>
        </w:rPr>
        <w:t>The provisions of the International Residential Code, 2015 edition, published by the International Code Council, 500 New Jersey Avenue NW, 6th Floor, Washington, D.C. 20001, are hereby adopted by reference as the requirements for construction, alteration, movement, enlargement, replacement, repair, equipment, use and occupancy, location, removal, and demolition of detached one- and two-family dwellings and multiple single-family dwellings (townhouses) not more than three stories in height with a separate means of egress and their accessory structures, with the following amendments:</w:t>
      </w:r>
    </w:p>
    <w:p>
      <w:pPr>
        <w:spacing w:before="0" w:after="0"/>
        <w:ind w:left="120"/>
        <w:jc w:val="both"/>
      </w:pP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Delete sections R103 to R114 and sections therein.</w:t>
      </w:r>
    </w:p>
    <w:p>
      <w:pPr>
        <w:spacing w:before="0" w:after="0"/>
        <w:ind w:left="120"/>
        <w:jc w:val="both"/>
      </w:pPr>
      <w:r>
        <w:rPr>
          <w:rFonts w:ascii="Times New Roman" w:hAnsi="Times New Roman"/>
          <w:b w:val="false"/>
          <w:i w:val="false"/>
          <w:color w:val="000000"/>
          <w:sz w:val="22"/>
        </w:rPr>
        <w:t>Note:</w:t>
      </w:r>
    </w:p>
    <w:p>
      <w:pPr>
        <w:spacing w:before="0" w:after="0"/>
        <w:ind w:left="120"/>
        <w:jc w:val="both"/>
      </w:pPr>
      <w:r>
        <w:rPr>
          <w:rFonts w:ascii="Times New Roman" w:hAnsi="Times New Roman"/>
          <w:b w:val="false"/>
          <w:i w:val="false"/>
          <w:color w:val="000000"/>
          <w:sz w:val="22"/>
        </w:rPr>
        <w:t xml:space="preserve"> The values for table R301.2(1) shall be determined by the location of the project and referenced footnotes from table R301.2(1).</w:t>
      </w:r>
    </w:p>
    <w:p>
      <w:pPr>
        <w:spacing w:before="0" w:after="0"/>
        <w:ind w:left="120"/>
        <w:jc w:val="both"/>
      </w:pPr>
      <w:r>
        <w:rPr>
          <w:rFonts w:ascii="Times New Roman" w:hAnsi="Times New Roman"/>
          <w:b w:val="false"/>
          <w:i w:val="false"/>
          <w:color w:val="000000"/>
          <w:sz w:val="22"/>
        </w:rPr>
        <w:t>Insert new Exception 5: “5. Exterior decks, exterior balconies, and exterior porches.”</w:t>
      </w:r>
    </w:p>
    <w:p>
      <w:pPr>
        <w:spacing w:before="0" w:after="0"/>
        <w:ind w:left="120"/>
        <w:jc w:val="both"/>
      </w:pPr>
      <w:r>
        <w:rPr>
          <w:rFonts w:ascii="Times New Roman" w:hAnsi="Times New Roman"/>
          <w:b w:val="false"/>
          <w:i w:val="false"/>
          <w:color w:val="000000"/>
          <w:sz w:val="22"/>
        </w:rPr>
        <w:t>Delete chapter 11 and insert in lieu thereof rule 661—303.2(103A).</w:t>
      </w:r>
    </w:p>
    <w:p>
      <w:pPr>
        <w:spacing w:before="0" w:after="0"/>
        <w:ind w:left="120"/>
        <w:jc w:val="both"/>
      </w:pP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Delete all references to the “International Fuel Gas Code” and insert in lieu thereof “rule 661—301.9(103A).”</w:t>
      </w:r>
    </w:p>
    <w:p>
      <w:pPr>
        <w:spacing w:before="0" w:after="0"/>
        <w:ind w:left="120"/>
        <w:jc w:val="both"/>
      </w:pPr>
      <w:r>
        <w:rPr>
          <w:rFonts w:ascii="Times New Roman" w:hAnsi="Times New Roman"/>
          <w:b w:val="false"/>
          <w:i w:val="false"/>
          <w:color w:val="000000"/>
          <w:sz w:val="22"/>
        </w:rPr>
        <w:t>Delete all references to the “International Building Code” and insert in lieu thereof “rule 661—301.3(103A).”</w:t>
      </w:r>
    </w:p>
    <w:p>
      <w:pPr>
        <w:spacing w:before="0" w:after="0"/>
        <w:ind w:left="120"/>
        <w:jc w:val="both"/>
      </w:pPr>
      <w:r>
        <w:rPr>
          <w:rFonts w:ascii="Times New Roman" w:hAnsi="Times New Roman"/>
          <w:b w:val="false"/>
          <w:i w:val="false"/>
          <w:color w:val="000000"/>
          <w:sz w:val="22"/>
        </w:rPr>
        <w:t>Delete all references to the “International Fire Code” and insert in lieu thereof “state fire code.”</w:t>
      </w:r>
    </w:p>
    <w:p>
      <w:pPr>
        <w:spacing w:before="0" w:after="0"/>
        <w:ind w:left="120"/>
        <w:jc w:val="both"/>
      </w:pPr>
      <w:r>
        <w:rPr>
          <w:rFonts w:ascii="Times New Roman" w:hAnsi="Times New Roman"/>
          <w:b w:val="false"/>
          <w:i w:val="false"/>
          <w:color w:val="000000"/>
          <w:sz w:val="22"/>
        </w:rPr>
        <w:t>Delete section R310.1 and insert in lieu thereof the following new section:</w:t>
      </w:r>
    </w:p>
    <w:p>
      <w:pPr>
        <w:spacing w:before="0" w:after="0"/>
        <w:ind w:left="120"/>
        <w:jc w:val="both"/>
      </w:pPr>
      <w:r>
        <w:rPr>
          <w:rFonts w:ascii="Times New Roman" w:hAnsi="Times New Roman"/>
          <w:b w:val="false"/>
          <w:i w:val="false"/>
          <w:color w:val="000000"/>
          <w:sz w:val="22"/>
        </w:rPr>
        <w:t>R310.1 Emergency escape and rescue required. Basements, habitable attics and every sleeping room shall have at least one operable emergency and rescue opening. Such opening shall open directly into a public street, public alley, yard or court. Where basements contain one or more sleeping rooms, emergency egress and rescue openings shall be required in each sleeping room, but shall not be required in adjoining areas of the basement. Where emergency escape and rescue openings are provided, they shall have a sill height of not more than 44 inches (1118 mm) above an adjacent permanent interior standing surface. The adjacent permanent interior standing surface shall be no less than 36 inches wide and 18 inches deep and no more than 24 inches high. Where a door opening having a threshold below the adjacent ground elevation serves as an emergency escape and rescue opening and is provided with a bulkhead enclosure, the bulkhead enclosure shall comply with section R310.3. The net clear opening dimensions required by this section shall be obtained by the normal operation of the emergency escape and rescue opening from the inside. Emergency escape and rescue openings with a finished sill height below the adjacent ground elevation shall be provided with a window well in accordance with section R310.2. Emergency escape and rescue openings shall open directly into a public way, or to a yard or court that opens to a public way.</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Basements used only to house mechanical equipment and not exceeding total floor area of 200 square feet (18.58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Delete section R313.1.</w:t>
      </w:r>
    </w:p>
    <w:p>
      <w:pPr>
        <w:spacing w:before="0" w:after="0"/>
        <w:ind w:left="120"/>
        <w:jc w:val="both"/>
      </w:pPr>
      <w:r>
        <w:rPr>
          <w:rFonts w:ascii="Times New Roman" w:hAnsi="Times New Roman"/>
          <w:b w:val="false"/>
          <w:i w:val="false"/>
          <w:color w:val="000000"/>
          <w:sz w:val="22"/>
        </w:rPr>
        <w:t xml:space="preserve">Note: </w:t>
      </w:r>
    </w:p>
    <w:p>
      <w:pPr>
        <w:spacing w:before="0" w:after="0"/>
        <w:ind w:left="120"/>
        <w:jc w:val="both"/>
      </w:pPr>
      <w:r>
        <w:rPr>
          <w:rFonts w:ascii="Times New Roman" w:hAnsi="Times New Roman"/>
          <w:b w:val="false"/>
          <w:i w:val="false"/>
          <w:color w:val="000000"/>
          <w:sz w:val="22"/>
        </w:rPr>
        <w:t xml:space="preserve">Deletion of section R313.1, which would have required the installation of sprinklers in newly constructed townhouses, is consistent with </w:t>
      </w:r>
      <w:r>
        <w:rPr>
          <w:rFonts w:ascii="Times New Roman" w:hAnsi="Times New Roman"/>
          <w:b w:val="false"/>
          <w:i w:val="false"/>
          <w:color w:val="000000"/>
          <w:sz w:val="22"/>
        </w:rPr>
        <w:t>2010 Iowa Acts, Senate Joint Resolution 2009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Delete section R313.2.</w:t>
      </w:r>
    </w:p>
    <w:p>
      <w:pPr>
        <w:spacing w:before="0" w:after="0"/>
        <w:ind w:left="120"/>
        <w:jc w:val="both"/>
      </w:pPr>
      <w:r>
        <w:rPr>
          <w:rFonts w:ascii="Times New Roman" w:hAnsi="Times New Roman"/>
          <w:b w:val="false"/>
          <w:i w:val="false"/>
          <w:color w:val="000000"/>
          <w:sz w:val="22"/>
        </w:rPr>
        <w:t xml:space="preserve">Note: </w:t>
      </w:r>
    </w:p>
    <w:p>
      <w:pPr>
        <w:spacing w:before="0" w:after="0"/>
        <w:ind w:left="120"/>
        <w:jc w:val="both"/>
      </w:pPr>
      <w:r>
        <w:rPr>
          <w:rFonts w:ascii="Times New Roman" w:hAnsi="Times New Roman"/>
          <w:b w:val="false"/>
          <w:i w:val="false"/>
          <w:color w:val="000000"/>
          <w:sz w:val="22"/>
        </w:rPr>
        <w:t xml:space="preserve">Deletion of section R313.2, which would have required the installation of sprinklers in newly constructed one- and two-family residences, is consistent with </w:t>
      </w:r>
      <w:r>
        <w:rPr>
          <w:rFonts w:ascii="Times New Roman" w:hAnsi="Times New Roman"/>
          <w:b w:val="false"/>
          <w:i w:val="false"/>
          <w:color w:val="000000"/>
          <w:sz w:val="22"/>
        </w:rPr>
        <w:t>2010 Iowa Acts, Senate Joint Resolution 2009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Amend section R322.1.7 by striking the words “Chapter 3 of the International Private Sewage Disposal Code” and inserting in lieu thereof “</w:t>
      </w:r>
      <w:hyperlink r:id="rId54">
        <w:r>
          <w:rPr>
            <w:rStyle w:val="Hyperlink"/>
            <w:rFonts w:ascii="Times New Roman" w:hAnsi="Times New Roman"/>
            <w:b w:val="false"/>
            <w:i w:val="false"/>
            <w:color w:val="000000"/>
            <w:sz w:val="22"/>
          </w:rPr>
          <w:t>567 Iowa Administrative Code 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Delete chapter 24 and sections therein and insert in lieu thereof the following new section:</w:t>
      </w:r>
    </w:p>
    <w:p>
      <w:pPr>
        <w:spacing w:before="0" w:after="0"/>
        <w:ind w:left="120"/>
        <w:jc w:val="both"/>
      </w:pPr>
      <w:r>
        <w:rPr>
          <w:rFonts w:ascii="Times New Roman" w:hAnsi="Times New Roman"/>
          <w:b w:val="false"/>
          <w:i w:val="false"/>
          <w:color w:val="000000"/>
          <w:sz w:val="22"/>
        </w:rPr>
        <w:t xml:space="preserve">All fuel gas piping installations shall comply with rule </w:t>
      </w:r>
      <w:hyperlink r:id="rId55">
        <w:r>
          <w:rPr>
            <w:rStyle w:val="Hyperlink"/>
            <w:rFonts w:ascii="Times New Roman" w:hAnsi="Times New Roman"/>
            <w:b w:val="false"/>
            <w:i w:val="false"/>
            <w:color w:val="000000"/>
            <w:sz w:val="22"/>
          </w:rPr>
          <w:t>661—301.9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Delete chapters 25 to 33 and sections therein, except for section P2904, and insert in lieu thereof the following new section:</w:t>
      </w:r>
    </w:p>
    <w:p>
      <w:pPr>
        <w:spacing w:before="0" w:after="0"/>
        <w:ind w:left="120"/>
        <w:jc w:val="both"/>
      </w:pPr>
      <w:r>
        <w:rPr>
          <w:rFonts w:ascii="Times New Roman" w:hAnsi="Times New Roman"/>
          <w:b w:val="false"/>
          <w:i w:val="false"/>
          <w:color w:val="000000"/>
          <w:sz w:val="22"/>
        </w:rPr>
        <w:t xml:space="preserve">All plumbing installations shall comply with the state plumbing code as adopted by the state plumbing and mechanical systems board pursuant to Iowa Code chapter </w:t>
      </w:r>
      <w:hyperlink r:id="rId5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Factory-built structures, as referenced by Iowa Code section </w:t>
      </w:r>
      <w:hyperlink r:id="rId57">
        <w:r>
          <w:rPr>
            <w:rStyle w:val="Hyperlink"/>
            <w:rFonts w:ascii="Times New Roman" w:hAnsi="Times New Roman"/>
            <w:b w:val="false"/>
            <w:i w:val="false"/>
            <w:color w:val="000000"/>
            <w:sz w:val="22"/>
          </w:rPr>
          <w:t>103A.10(3)</w:t>
        </w:r>
      </w:hyperlink>
      <w:r>
        <w:rPr>
          <w:rFonts w:ascii="Times New Roman" w:hAnsi="Times New Roman"/>
          <w:b w:val="false"/>
          <w:i w:val="false"/>
          <w:color w:val="000000"/>
          <w:sz w:val="22"/>
        </w:rPr>
        <w:t xml:space="preserve">, that contain plumbing installations are allowed to comply with either the state plumbing code or with the International Plumbing Code, 2015 edition, published by the International Code Council, 500 New Jersey Avenue NW, 6th Floor, Washington, D.C. 20001. The manufacturer’s data plate must indicate which plumbing code was utilized for compliance with this rule, as required by </w:t>
      </w:r>
      <w:hyperlink r:id="rId58">
        <w:r>
          <w:rPr>
            <w:rStyle w:val="Hyperlink"/>
            <w:rFonts w:ascii="Times New Roman" w:hAnsi="Times New Roman"/>
            <w:b w:val="false"/>
            <w:i w:val="false"/>
            <w:color w:val="000000"/>
            <w:sz w:val="22"/>
          </w:rPr>
          <w:t>661—paragraph 16.610(15)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Delete chapters 34 to 43 and sections therein and insert in lieu thereof the following new section:</w:t>
      </w:r>
    </w:p>
    <w:p>
      <w:pPr>
        <w:spacing w:before="0" w:after="0"/>
        <w:ind w:left="120"/>
        <w:jc w:val="both"/>
      </w:pPr>
      <w:r>
        <w:rPr>
          <w:rFonts w:ascii="Times New Roman" w:hAnsi="Times New Roman"/>
          <w:b w:val="false"/>
          <w:i w:val="false"/>
          <w:color w:val="000000"/>
          <w:sz w:val="22"/>
        </w:rPr>
        <w:t xml:space="preserve">The provisions of the state electrical code, as adopted and amended in </w:t>
      </w:r>
      <w:hyperlink r:id="rId59">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 are hereby adopted by reference as the requirements for electrical installations.</w:t>
      </w:r>
    </w:p>
    <w:p>
      <w:pPr>
        <w:spacing w:before="0" w:after="0"/>
        <w:ind w:left="120"/>
        <w:jc w:val="both"/>
      </w:pPr>
      <w:r>
        <w:rPr>
          <w:rFonts w:ascii="Times New Roman" w:hAnsi="Times New Roman"/>
          <w:b w:val="false"/>
          <w:i w:val="false"/>
          <w:color w:val="000000"/>
          <w:sz w:val="22"/>
        </w:rPr>
        <w:t>Delete appendices A through U of the IRC.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8771B</w:t>
      </w:r>
      <w:r>
        <w:rPr>
          <w:rFonts w:ascii="Times New Roman" w:hAnsi="Times New Roman"/>
          <w:b w:val="false"/>
          <w:i w:val="false"/>
          <w:color w:val="000000"/>
          <w:sz w:val="16"/>
        </w:rPr>
        <w:t>, IAB 5/19/10, effective 5/1/10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661—301.9</w:t>
      </w:r>
      <w:r>
        <w:rPr>
          <w:rFonts w:ascii="Times New Roman" w:hAnsi="Times New Roman"/>
          <w:b/>
          <w:i w:val="false"/>
          <w:color w:val="000000"/>
          <w:sz w:val="22"/>
        </w:rPr>
        <w:t xml:space="preserve">(103A) </w:t>
      </w:r>
      <w:r>
        <w:rPr>
          <w:rFonts w:ascii="Times New Roman" w:hAnsi="Times New Roman"/>
          <w:b/>
          <w:i w:val="false"/>
          <w:color w:val="000000"/>
          <w:sz w:val="22"/>
        </w:rPr>
        <w:t xml:space="preserve">Fuel gas piping requirements. </w:t>
      </w:r>
      <w:r>
        <w:rPr>
          <w:rFonts w:ascii="Times New Roman" w:hAnsi="Times New Roman"/>
          <w:b w:val="false"/>
          <w:i w:val="false"/>
          <w:color w:val="000000"/>
          <w:sz w:val="22"/>
        </w:rPr>
        <w:t xml:space="preserve">Fuel gas piping shall comply with the requirements of rule </w:t>
      </w:r>
      <w:hyperlink r:id="rId60">
        <w:r>
          <w:rPr>
            <w:rStyle w:val="Hyperlink"/>
            <w:rFonts w:ascii="Times New Roman" w:hAnsi="Times New Roman"/>
            <w:b w:val="false"/>
            <w:i w:val="false"/>
            <w:color w:val="000000"/>
            <w:sz w:val="22"/>
          </w:rPr>
          <w:t>641—25.3</w:t>
        </w:r>
      </w:hyperlink>
      <w:r>
        <w:rPr>
          <w:rFonts w:ascii="Times New Roman" w:hAnsi="Times New Roman"/>
          <w:b w:val="false"/>
          <w:i w:val="false"/>
          <w:color w:val="000000"/>
          <w:sz w:val="22"/>
        </w:rPr>
        <w:t xml:space="preserve">(105) and NFPA 54, ANSI Z223.1-2012, National Fuel Gas Code, 2012 Edition, published by the National Fire Protection Association, 1 Batterymarch Park, Quincy, MA 02169-7471. Liquefied petroleum gas facilities and appliances shall comply with rule </w:t>
      </w:r>
      <w:hyperlink r:id="rId61">
        <w:r>
          <w:rPr>
            <w:rStyle w:val="Hyperlink"/>
            <w:rFonts w:ascii="Times New Roman" w:hAnsi="Times New Roman"/>
            <w:b w:val="false"/>
            <w:i w:val="false"/>
            <w:color w:val="000000"/>
            <w:sz w:val="22"/>
          </w:rPr>
          <w:t>661—226.1</w:t>
        </w:r>
      </w:hyperlink>
      <w:r>
        <w:rPr>
          <w:rFonts w:ascii="Times New Roman" w:hAnsi="Times New Roman"/>
          <w:b w:val="false"/>
          <w:i w:val="false"/>
          <w:color w:val="000000"/>
          <w:sz w:val="22"/>
        </w:rPr>
        <w:t>(101).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661—301.10</w:t>
      </w:r>
      <w:r>
        <w:rPr>
          <w:rFonts w:ascii="Times New Roman" w:hAnsi="Times New Roman"/>
          <w:b/>
          <w:i w:val="false"/>
          <w:color w:val="000000"/>
          <w:sz w:val="22"/>
        </w:rPr>
        <w:t xml:space="preserve">(103A) </w:t>
      </w:r>
      <w:r>
        <w:rPr>
          <w:rFonts w:ascii="Times New Roman" w:hAnsi="Times New Roman"/>
          <w:b/>
          <w:i w:val="false"/>
          <w:color w:val="000000"/>
          <w:sz w:val="22"/>
        </w:rPr>
        <w:t xml:space="preserve">Transition period. </w:t>
      </w:r>
      <w:r>
        <w:rPr>
          <w:rFonts w:ascii="Times New Roman" w:hAnsi="Times New Roman"/>
          <w:b w:val="false"/>
          <w:i w:val="false"/>
          <w:color w:val="000000"/>
          <w:sz w:val="22"/>
        </w:rPr>
        <w:t xml:space="preserve">A construction project which is subject to the provisions of any rule in </w:t>
      </w:r>
      <w:hyperlink r:id="rId62">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xml:space="preserve"> or </w:t>
      </w:r>
      <w:hyperlink r:id="rId63">
        <w:r>
          <w:rPr>
            <w:rStyle w:val="Hyperlink"/>
            <w:rFonts w:ascii="Times New Roman" w:hAnsi="Times New Roman"/>
            <w:b w:val="false"/>
            <w:i w:val="false"/>
            <w:color w:val="000000"/>
            <w:sz w:val="22"/>
          </w:rPr>
          <w:t>661—Chapter 303</w:t>
        </w:r>
      </w:hyperlink>
      <w:r>
        <w:rPr>
          <w:rFonts w:ascii="Times New Roman" w:hAnsi="Times New Roman"/>
          <w:b w:val="false"/>
          <w:i w:val="false"/>
          <w:color w:val="000000"/>
          <w:sz w:val="22"/>
        </w:rPr>
        <w:t xml:space="preserve"> which requires compliance with provisions of the 2009 edition of any code published by the International Code Council, 500 New Jersey Avenue NW, 6th Floor, Washington, D.C. 20001, may comply with the requirements established either in the edition of the code adopted herein or the requirements established in the edition of the same code previously in effect if the project is commenced on or before January 1, 2017. “Commenced” shall mean that the submitter has obtained preliminary approval from the commissioner or a local building department pursuant to rule </w:t>
      </w:r>
      <w:hyperlink r:id="rId64">
        <w:r>
          <w:rPr>
            <w:rStyle w:val="Hyperlink"/>
            <w:rFonts w:ascii="Times New Roman" w:hAnsi="Times New Roman"/>
            <w:b w:val="false"/>
            <w:i w:val="false"/>
            <w:color w:val="000000"/>
            <w:sz w:val="22"/>
          </w:rPr>
          <w:t>661—300.6</w:t>
        </w:r>
      </w:hyperlink>
      <w:r>
        <w:rPr>
          <w:rFonts w:ascii="Times New Roman" w:hAnsi="Times New Roman"/>
          <w:b w:val="false"/>
          <w:i w:val="false"/>
          <w:color w:val="000000"/>
          <w:sz w:val="22"/>
        </w:rPr>
        <w:t xml:space="preserve">(103A) prior to July 31, 2016. If final approval for the project design has not been obtained prior to January 1, 2017, the project is subject to the provisions of </w:t>
      </w:r>
      <w:hyperlink r:id="rId65">
        <w:r>
          <w:rPr>
            <w:rStyle w:val="Hyperlink"/>
            <w:rFonts w:ascii="Times New Roman" w:hAnsi="Times New Roman"/>
            <w:b w:val="false"/>
            <w:i w:val="false"/>
            <w:color w:val="000000"/>
            <w:sz w:val="22"/>
          </w:rPr>
          <w:t>661—Chapters 301</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in effect as of May 18,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1301C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8305B</w:t>
      </w:r>
      <w:r>
        <w:rPr>
          <w:rFonts w:ascii="Times New Roman" w:hAnsi="Times New Roman"/>
          <w:b w:val="false"/>
          <w:i w:val="false"/>
          <w:color w:val="000000"/>
          <w:sz w:val="21"/>
        </w:rPr>
        <w:t xml:space="preserve"> (Notice ARC 8179B, IAB 9/23/09)</w:t>
      </w:r>
      <w:r>
        <w:rPr>
          <w:rFonts w:ascii="Times New Roman" w:hAnsi="Times New Roman"/>
          <w:b w:val="false"/>
          <w:i w:val="false"/>
          <w:color w:val="000000"/>
          <w:sz w:val="21"/>
        </w:rPr>
        <w:t>, IAB 11/18/09, effective 1/1/10]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12/30/09]</w:t>
      </w:r>
    </w:p>
    <w:p>
      <w:pPr>
        <w:spacing w:before="0" w:after="0"/>
        <w:ind w:left="120"/>
        <w:jc w:val="center"/>
      </w:pPr>
      <w:r>
        <w:rPr>
          <w:rFonts w:ascii="Times New Roman" w:hAnsi="Times New Roman"/>
          <w:b w:val="false"/>
          <w:i w:val="false"/>
          <w:color w:val="000000"/>
          <w:sz w:val="21"/>
        </w:rPr>
        <w:t>[Filed Emergency ARC 8771B, IAB 5/19/10, effective 5/1/10]</w:t>
      </w:r>
    </w:p>
    <w:p>
      <w:pPr>
        <w:spacing w:before="0" w:after="0"/>
        <w:ind w:left="120"/>
        <w:jc w:val="center"/>
      </w:pPr>
      <w:r>
        <w:rPr>
          <w:rFonts w:ascii="Times New Roman" w:hAnsi="Times New Roman"/>
          <w:b w:val="false"/>
          <w:i w:val="false"/>
          <w:color w:val="000000"/>
          <w:sz w:val="21"/>
        </w:rPr>
        <w:t>[Filed Emergency ARC 9627B, IAB 7/27/11, effective 7/8/11]</w:t>
      </w:r>
    </w:p>
    <w:p>
      <w:pPr>
        <w:spacing w:before="0" w:after="0"/>
        <w:ind w:left="120"/>
        <w:jc w:val="center"/>
      </w:pPr>
      <w:r>
        <w:rPr>
          <w:rFonts w:ascii="Times New Roman" w:hAnsi="Times New Roman"/>
          <w:b w:val="false"/>
          <w:i w:val="false"/>
          <w:color w:val="000000"/>
          <w:sz w:val="21"/>
        </w:rPr>
        <w:t>[Filed ARC 9770B</w:t>
      </w:r>
      <w:r>
        <w:rPr>
          <w:rFonts w:ascii="Times New Roman" w:hAnsi="Times New Roman"/>
          <w:b w:val="false"/>
          <w:i w:val="false"/>
          <w:color w:val="000000"/>
          <w:sz w:val="21"/>
        </w:rPr>
        <w:t xml:space="preserve"> (Notice ARC 9562B, IAB 6/15/11)</w:t>
      </w:r>
      <w:r>
        <w:rPr>
          <w:rFonts w:ascii="Times New Roman" w:hAnsi="Times New Roman"/>
          <w:b w:val="false"/>
          <w:i w:val="false"/>
          <w:color w:val="000000"/>
          <w:sz w:val="21"/>
        </w:rPr>
        <w:t>, IAB 10/5/11, effective 12/1/11]</w:t>
      </w:r>
    </w:p>
    <w:p>
      <w:pPr>
        <w:spacing w:before="0" w:after="0"/>
        <w:ind w:left="120"/>
        <w:jc w:val="center"/>
      </w:pPr>
      <w:r>
        <w:rPr>
          <w:rFonts w:ascii="Times New Roman" w:hAnsi="Times New Roman"/>
          <w:b w:val="false"/>
          <w:i w:val="false"/>
          <w:color w:val="000000"/>
          <w:sz w:val="21"/>
        </w:rPr>
        <w:t>[Filed ARC 9826B</w:t>
      </w:r>
      <w:r>
        <w:rPr>
          <w:rFonts w:ascii="Times New Roman" w:hAnsi="Times New Roman"/>
          <w:b w:val="false"/>
          <w:i w:val="false"/>
          <w:color w:val="000000"/>
          <w:sz w:val="21"/>
        </w:rPr>
        <w:t xml:space="preserve"> (Notice ARC 9629B, IAB 7/27/11)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1301C</w:t>
      </w:r>
      <w:r>
        <w:rPr>
          <w:rFonts w:ascii="Times New Roman" w:hAnsi="Times New Roman"/>
          <w:b w:val="false"/>
          <w:i w:val="false"/>
          <w:color w:val="000000"/>
          <w:sz w:val="21"/>
        </w:rPr>
        <w:t xml:space="preserve"> (Notice ARC 1198C, IAB 11/27/13)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p>
      <w:pPr>
        <w:pBdr>
          <w:bottom w:space="2"/>
        </w:pBdr>
        <w:spacing w:before="0" w:after="0"/>
        <w:ind w:left="120"/>
        <w:jc w:val="both"/>
      </w:pPr>
      <w:r>
        <w:rPr>
          <w:rFonts w:ascii="Times New Roman" w:hAnsi="Times New Roman"/>
          <w:b w:val="false"/>
          <w:i w:val="false"/>
          <w:color w:val="000000"/>
          <w:sz w:val="22"/>
        </w:rPr>
        <w:t>January 1, 2010, effective date of the portions of 661—301.8(103A) pertaining to Sections R313.1 and R313.2 delayed until the adjournment of the 2010 Session of the General Assembly by the Administrative Rules Review Committee at its meeting held December 8, 2009.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pdf" Type="http://schemas.openxmlformats.org/officeDocument/2006/relationships/hyperlink" Id="rId5"/>
    <Relationship TargetMode="External" Target="https://www.legis.iowa.gov/docs/ico/chapter/103A.12.pdf" Type="http://schemas.openxmlformats.org/officeDocument/2006/relationships/hyperlink" Id="rId6"/>
    <Relationship TargetMode="External" Target="https://www.legis.iowa.gov/docs/iac/chapter/661.301.pdf" Type="http://schemas.openxmlformats.org/officeDocument/2006/relationships/hyperlink" Id="rId7"/>
    <Relationship TargetMode="External" Target="https://www.legis.iowa.gov/docs/iac/chapter/661.302.pdf" Type="http://schemas.openxmlformats.org/officeDocument/2006/relationships/hyperlink" Id="rId8"/>
    <Relationship TargetMode="External" Target="https://www.legis.iowa.gov/docs/iac/chapter/661.303.pdf" Type="http://schemas.openxmlformats.org/officeDocument/2006/relationships/hyperlink" Id="rId9"/>
    <Relationship TargetMode="External" Target="https://www.legis.iowa.gov/docs/iac/chapter/661.310.pdf" Type="http://schemas.openxmlformats.org/officeDocument/2006/relationships/hyperlink" Id="rId10"/>
    <Relationship TargetMode="External" Target="https://www.legis.iowa.gov/docs/iac/chapter/661.315.pdf" Type="http://schemas.openxmlformats.org/officeDocument/2006/relationships/hyperlink" Id="rId11"/>
    <Relationship TargetMode="External" Target="https://www.legis.iowa.gov/docs/iac/chapter/661.322.pdf" Type="http://schemas.openxmlformats.org/officeDocument/2006/relationships/hyperlink" Id="rId12"/>
    <Relationship TargetMode="External" Target="https://www.legis.iowa.gov/docs/iac/chapter/661.350.pdf" Type="http://schemas.openxmlformats.org/officeDocument/2006/relationships/hyperlink" Id="rId13"/>
    <Relationship TargetMode="External" Target="https://www.legis.iowa.gov/docs/ico/chapter/103A.15.pdf" Type="http://schemas.openxmlformats.org/officeDocument/2006/relationships/hyperlink" Id="rId14"/>
    <Relationship TargetMode="External" Target="https://www.legis.iowa.gov/docs/iac/chapter/661.302.pdf" Type="http://schemas.openxmlformats.org/officeDocument/2006/relationships/hyperlink" Id="rId15"/>
    <Relationship TargetMode="External" Target="https://www.legis.iowa.gov/docs/ico/chapter/103A.14.pdf" Type="http://schemas.openxmlformats.org/officeDocument/2006/relationships/hyperlink" Id="rId16"/>
    <Relationship TargetMode="External" Target="https://www.legis.iowa.gov/docs/ico/chapter/103A.4.pdf" Type="http://schemas.openxmlformats.org/officeDocument/2006/relationships/hyperlink" Id="rId17"/>
    <Relationship TargetMode="External" Target="https://www.legis.iowa.gov/docs/ico/chapter/542B.pdf" Type="http://schemas.openxmlformats.org/officeDocument/2006/relationships/hyperlink" Id="rId18"/>
    <Relationship TargetMode="External" Target="https://www.legis.iowa.gov/docs/ico/chapter/544A.pdf" Type="http://schemas.openxmlformats.org/officeDocument/2006/relationships/hyperlink" Id="rId19"/>
    <Relationship TargetMode="External" Target="https://www.legis.iowa.gov/docs/ico/chapter/100.1.pdf" Type="http://schemas.openxmlformats.org/officeDocument/2006/relationships/hyperlink" Id="rId20"/>
    <Relationship TargetMode="External" Target="https://www.legis.iowa.gov/docs/ico/chapter/105.pdf" Type="http://schemas.openxmlformats.org/officeDocument/2006/relationships/hyperlink" Id="rId21"/>
    <Relationship TargetMode="External" Target="https://www.legis.iowa.gov/docs/ico/chapter/105.pdf" Type="http://schemas.openxmlformats.org/officeDocument/2006/relationships/hyperlink" Id="rId22"/>
    <Relationship TargetMode="External" Target="https://www.legis.iowa.gov/docs/iac/rule/661.301.8.pdf" Type="http://schemas.openxmlformats.org/officeDocument/2006/relationships/hyperlink" Id="rId23"/>
    <Relationship TargetMode="External" Target="https://www.legis.iowa.gov/docs/iac/rule/661.315.2.pdf" Type="http://schemas.openxmlformats.org/officeDocument/2006/relationships/hyperlink" Id="rId24"/>
    <Relationship TargetMode="External" Target="https://www.legis.iowa.gov/docs/iac/chapter/661.315.pdf" Type="http://schemas.openxmlformats.org/officeDocument/2006/relationships/hyperlink" Id="rId25"/>
    <Relationship TargetMode="External" Target="https://www.legis.iowa.gov/docs/iac/chapter/661.302.pdf" Type="http://schemas.openxmlformats.org/officeDocument/2006/relationships/hyperlink" Id="rId26"/>
    <Relationship TargetMode="External" Target="https://www.legis.iowa.gov/docs/iac/chapter/875.72.pdf" Type="http://schemas.openxmlformats.org/officeDocument/2006/relationships/hyperlink" Id="rId27"/>
    <Relationship TargetMode="External" Target="https://www.legis.iowa.gov/docs/iac/chapter/875.72.pdf" Type="http://schemas.openxmlformats.org/officeDocument/2006/relationships/hyperlink" Id="rId28"/>
    <Relationship TargetMode="External" Target="https://www.legis.iowa.gov/docs/iac/rule/661.301.9.pdf" Type="http://schemas.openxmlformats.org/officeDocument/2006/relationships/hyperlink" Id="rId29"/>
    <Relationship TargetMode="External" Target="https://www.legis.iowa.gov/docs/iac/rule/661.301.8.pdf" Type="http://schemas.openxmlformats.org/officeDocument/2006/relationships/hyperlink" Id="rId30"/>
    <Relationship TargetMode="External" Target="https://www.legis.iowa.gov/docs/iac/chapter/661.303.pdf" Type="http://schemas.openxmlformats.org/officeDocument/2006/relationships/hyperlink" Id="rId31"/>
    <Relationship TargetMode="External" Target="https://www.legis.iowa.gov/docs/iac/rule/661.205.1.pdf" Type="http://schemas.openxmlformats.org/officeDocument/2006/relationships/hyperlink" Id="rId32"/>
    <Relationship TargetMode="External" Target="https://www.legis.iowa.gov/docs/iac/rule/661.205.5.pdf" Type="http://schemas.openxmlformats.org/officeDocument/2006/relationships/hyperlink" Id="rId33"/>
    <Relationship TargetMode="External" Target="https://www.legis.iowa.gov/docs/iac/rule/661.205.1.pdf" Type="http://schemas.openxmlformats.org/officeDocument/2006/relationships/hyperlink" Id="rId34"/>
    <Relationship TargetMode="External" Target="https://www.legis.iowa.gov/docs/iac/rule/661.205.10.pdf" Type="http://schemas.openxmlformats.org/officeDocument/2006/relationships/hyperlink" Id="rId35"/>
    <Relationship TargetMode="External" Target="https://www.legis.iowa.gov/docs/iac/rule/661.205.1.pdf" Type="http://schemas.openxmlformats.org/officeDocument/2006/relationships/hyperlink" Id="rId36"/>
    <Relationship TargetMode="External" Target="https://www.legis.iowa.gov/docs/iac/rule/661.205.15.pdf" Type="http://schemas.openxmlformats.org/officeDocument/2006/relationships/hyperlink" Id="rId37"/>
    <Relationship TargetMode="External" Target="https://www.legis.iowa.gov/docs/iac/rule/661.205.1.pdf" Type="http://schemas.openxmlformats.org/officeDocument/2006/relationships/hyperlink" Id="rId38"/>
    <Relationship TargetMode="External" Target="https://www.legis.iowa.gov/docs/iac/rule/661.205.20.pdf" Type="http://schemas.openxmlformats.org/officeDocument/2006/relationships/hyperlink" Id="rId39"/>
    <Relationship TargetMode="External" Target="https://www.legis.iowa.gov/docs/iac/rule/661.205.25.pdf" Type="http://schemas.openxmlformats.org/officeDocument/2006/relationships/hyperlink" Id="rId40"/>
    <Relationship TargetMode="External" Target="https://www.legis.iowa.gov/docs/iac/chapter/641.61.pdf" Type="http://schemas.openxmlformats.org/officeDocument/2006/relationships/hyperlink" Id="rId41"/>
    <Relationship TargetMode="External" Target="https://www.legis.iowa.gov/docs/ico/chapter/105.pdf" Type="http://schemas.openxmlformats.org/officeDocument/2006/relationships/hyperlink" Id="rId42"/>
    <Relationship TargetMode="External" Target="https://www.legis.iowa.gov/docs/iac/chapter/661.504.pdf" Type="http://schemas.openxmlformats.org/officeDocument/2006/relationships/hyperlink" Id="rId43"/>
    <Relationship TargetMode="External" Target="https://www.legis.iowa.gov/docs/ico/chapter/103A.pdf" Type="http://schemas.openxmlformats.org/officeDocument/2006/relationships/hyperlink" Id="rId44"/>
    <Relationship TargetMode="External" Target="https://www.legis.iowa.gov/docs/iac/chapter/641.25.pdf" Type="http://schemas.openxmlformats.org/officeDocument/2006/relationships/hyperlink" Id="rId45"/>
    <Relationship TargetMode="External" Target="https://www.legis.iowa.gov/docs/ico/chapter/105.pdf" Type="http://schemas.openxmlformats.org/officeDocument/2006/relationships/hyperlink" Id="rId46"/>
    <Relationship TargetMode="External" Target="https://www.legis.iowa.gov/docs/ico/chapter/103A.10.pdf" Type="http://schemas.openxmlformats.org/officeDocument/2006/relationships/hyperlink" Id="rId47"/>
    <Relationship TargetMode="External" Target="https://www.legis.iowa.gov/docs/iac/rule/661.16.610.pdf" Type="http://schemas.openxmlformats.org/officeDocument/2006/relationships/hyperlink" Id="rId48"/>
    <Relationship TargetMode="External" Target="https://www.legis.iowa.gov/docs/iac/chapter/567.69.pdf" Type="http://schemas.openxmlformats.org/officeDocument/2006/relationships/hyperlink" Id="rId49"/>
    <Relationship TargetMode="External" Target="https://www.legis.iowa.gov/docs/iac/rule/661.301.9.pdf" Type="http://schemas.openxmlformats.org/officeDocument/2006/relationships/hyperlink" Id="rId50"/>
    <Relationship TargetMode="External" Target="https://www.legis.iowa.gov/docs/iac/rule/661.301.9.pdf" Type="http://schemas.openxmlformats.org/officeDocument/2006/relationships/hyperlink" Id="rId51"/>
    <Relationship TargetMode="External" Target="https://www.legis.iowa.gov/docs/iac/rule/661.301.3.pdf" Type="http://schemas.openxmlformats.org/officeDocument/2006/relationships/hyperlink" Id="rId52"/>
    <Relationship TargetMode="External" Target="https://www.legis.iowa.gov/docs/iac/rule/661.301.8.pdf" Type="http://schemas.openxmlformats.org/officeDocument/2006/relationships/hyperlink" Id="rId53"/>
    <Relationship TargetMode="External" Target="https://www.legis.iowa.gov/docs/iac/chapter/567.69.pdf" Type="http://schemas.openxmlformats.org/officeDocument/2006/relationships/hyperlink" Id="rId54"/>
    <Relationship TargetMode="External" Target="https://www.legis.iowa.gov/docs/iac/rule/661.301.9.pdf" Type="http://schemas.openxmlformats.org/officeDocument/2006/relationships/hyperlink" Id="rId55"/>
    <Relationship TargetMode="External" Target="https://www.legis.iowa.gov/docs/ico/chapter/105.pdf" Type="http://schemas.openxmlformats.org/officeDocument/2006/relationships/hyperlink" Id="rId56"/>
    <Relationship TargetMode="External" Target="https://www.legis.iowa.gov/docs/ico/chapter/103A.10.pdf" Type="http://schemas.openxmlformats.org/officeDocument/2006/relationships/hyperlink" Id="rId57"/>
    <Relationship TargetMode="External" Target="https://www.legis.iowa.gov/docs/iac/rule/661.16.610.pdf" Type="http://schemas.openxmlformats.org/officeDocument/2006/relationships/hyperlink" Id="rId58"/>
    <Relationship TargetMode="External" Target="https://www.legis.iowa.gov/docs/iac/chapter/661.504.pdf" Type="http://schemas.openxmlformats.org/officeDocument/2006/relationships/hyperlink" Id="rId59"/>
    <Relationship TargetMode="External" Target="https://www.legis.iowa.gov/docs/iac/rule/641.25.3.pdf" Type="http://schemas.openxmlformats.org/officeDocument/2006/relationships/hyperlink" Id="rId60"/>
    <Relationship TargetMode="External" Target="https://www.legis.iowa.gov/docs/iac/rule/661.226.1.pdf" Type="http://schemas.openxmlformats.org/officeDocument/2006/relationships/hyperlink" Id="rId61"/>
    <Relationship TargetMode="External" Target="https://www.legis.iowa.gov/docs/iac/chapter/661.301.pdf" Type="http://schemas.openxmlformats.org/officeDocument/2006/relationships/hyperlink" Id="rId62"/>
    <Relationship TargetMode="External" Target="https://www.legis.iowa.gov/docs/iac/chapter/661.303.pdf" Type="http://schemas.openxmlformats.org/officeDocument/2006/relationships/hyperlink" Id="rId63"/>
    <Relationship TargetMode="External" Target="https://www.legis.iowa.gov/docs/iac/rule/661.300.6.pdf" Type="http://schemas.openxmlformats.org/officeDocument/2006/relationships/hyperlink" Id="rId64"/>
    <Relationship TargetMode="External" Target="https://www.legis.iowa.gov/docs/iac/chapter/661.301.pdf" Type="http://schemas.openxmlformats.org/officeDocument/2006/relationships/hyperlink" Id="rId65"/>
    <Relationship TargetMode="External" Target="https://www.legis.iowa.gov/docs/iac/chapter/661.303.pdf" Type="http://schemas.openxmlformats.org/officeDocument/2006/relationships/hyperlink" Id="rId66"/>
    <Relationship TargetMode="External" Target="https://www.legis.iowa.gov/docs/ico/chapter/103A.pdf" Type="http://schemas.openxmlformats.org/officeDocument/2006/relationships/hyperlink"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