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300</w:t>
      </w:r>
    </w:p>
    <w:p>
      <w:pPr>
        <w:spacing w:before="0" w:after="0"/>
        <w:ind w:left="120"/>
        <w:jc w:val="center"/>
      </w:pPr>
      <w:r>
        <w:rPr>
          <w:rFonts w:ascii="Times New Roman" w:hAnsi="Times New Roman"/>
          <w:b w:val="false"/>
          <w:i w:val="false"/>
          <w:color w:val="000000"/>
          <w:sz w:val="21"/>
        </w:rPr>
        <w:t>STATE BUILDING CODE—ADMINISTRATION</w:t>
      </w:r>
    </w:p>
    <w:p>
      <w:pPr>
        <w:spacing w:before="0" w:after="0"/>
        <w:ind w:left="120"/>
        <w:jc w:val="center"/>
      </w:pPr>
      <w:r>
        <w:rPr>
          <w:rFonts w:ascii="Times New Roman" w:hAnsi="Times New Roman"/>
          <w:b w:val="false"/>
          <w:i w:val="false"/>
          <w:color w:val="000000"/>
          <w:sz w:val="14"/>
        </w:rPr>
        <w:t>[Prior to 12/21/05, see rules 661—16.1(103A) to 661—16.500(103A)]</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661—300.1</w:t>
      </w:r>
      <w:r>
        <w:rPr>
          <w:rFonts w:ascii="Times New Roman" w:hAnsi="Times New Roman"/>
          <w:b/>
          <w:i w:val="false"/>
          <w:color w:val="000000"/>
          <w:sz w:val="22"/>
        </w:rPr>
        <w:t xml:space="preserve">(103A) </w:t>
      </w:r>
      <w:r>
        <w:rPr>
          <w:rFonts w:ascii="Times New Roman" w:hAnsi="Times New Roman"/>
          <w:b/>
          <w:i w:val="false"/>
          <w:color w:val="000000"/>
          <w:sz w:val="22"/>
        </w:rPr>
        <w:t xml:space="preserve">State building code promulgated. </w:t>
      </w:r>
      <w:r>
        <w:rPr>
          <w:rFonts w:ascii="Times New Roman" w:hAnsi="Times New Roman"/>
          <w:b w:val="false"/>
          <w:i w:val="false"/>
          <w:color w:val="000000"/>
          <w:sz w:val="22"/>
        </w:rPr>
        <w:t xml:space="preserve">Iowa Code section </w:t>
      </w:r>
      <w:hyperlink r:id="rId5">
        <w:r>
          <w:rPr>
            <w:rStyle w:val="Hyperlink"/>
            <w:rFonts w:ascii="Times New Roman" w:hAnsi="Times New Roman"/>
            <w:b w:val="false"/>
            <w:i w:val="false"/>
            <w:color w:val="000000"/>
            <w:sz w:val="22"/>
          </w:rPr>
          <w:t>103A.7</w:t>
        </w:r>
      </w:hyperlink>
      <w:r>
        <w:rPr>
          <w:rFonts w:ascii="Times New Roman" w:hAnsi="Times New Roman"/>
          <w:b w:val="false"/>
          <w:i w:val="false"/>
          <w:color w:val="000000"/>
          <w:sz w:val="22"/>
        </w:rPr>
        <w:t xml:space="preserve"> assigns to the building code commissioner authority to promulgate the state building code, with the approval of the building code advisory council, except that adoption of the state historic building code requires the approval of the state historical society board of trustees, rather than the building code advisory council.</w:t>
      </w:r>
    </w:p>
    <w:p>
      <w:pPr>
        <w:spacing w:before="0" w:after="0"/>
        <w:ind w:left="120"/>
        <w:jc w:val="both"/>
      </w:pPr>
      <w:r>
        <w:rPr>
          <w:rFonts w:ascii="Times New Roman" w:hAnsi="Times New Roman"/>
          <w:b w:val="false"/>
          <w:i w:val="false"/>
          <w:color w:val="000000"/>
          <w:sz w:val="22"/>
        </w:rPr>
        <w:t xml:space="preserve">The state building code, as authorized by Iowa Code section </w:t>
      </w:r>
      <w:hyperlink r:id="rId6">
        <w:r>
          <w:rPr>
            <w:rStyle w:val="Hyperlink"/>
            <w:rFonts w:ascii="Times New Roman" w:hAnsi="Times New Roman"/>
            <w:b w:val="false"/>
            <w:i w:val="false"/>
            <w:color w:val="000000"/>
            <w:sz w:val="22"/>
          </w:rPr>
          <w:t>103A.7</w:t>
        </w:r>
      </w:hyperlink>
      <w:r>
        <w:rPr>
          <w:rFonts w:ascii="Times New Roman" w:hAnsi="Times New Roman"/>
          <w:b w:val="false"/>
          <w:i w:val="false"/>
          <w:color w:val="000000"/>
          <w:sz w:val="22"/>
        </w:rPr>
        <w:t xml:space="preserve">, includes </w:t>
      </w:r>
      <w:hyperlink r:id="rId7">
        <w:r>
          <w:rPr>
            <w:rStyle w:val="Hyperlink"/>
            <w:rFonts w:ascii="Times New Roman" w:hAnsi="Times New Roman"/>
            <w:b w:val="false"/>
            <w:i w:val="false"/>
            <w:color w:val="000000"/>
            <w:sz w:val="22"/>
          </w:rPr>
          <w:t>661—Chapters 16</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300</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302</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303</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310</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315</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322</w:t>
        </w:r>
      </w:hyperlink>
      <w:r>
        <w:rPr>
          <w:rFonts w:ascii="Times New Roman" w:hAnsi="Times New Roman"/>
          <w:b w:val="false"/>
          <w:i w:val="false"/>
          <w:color w:val="000000"/>
          <w:sz w:val="22"/>
        </w:rPr>
        <w:t xml:space="preserve">. The state historic building code is set forth in </w:t>
      </w:r>
      <w:hyperlink r:id="rId15">
        <w:r>
          <w:rPr>
            <w:rStyle w:val="Hyperlink"/>
            <w:rFonts w:ascii="Times New Roman" w:hAnsi="Times New Roman"/>
            <w:b w:val="false"/>
            <w:i w:val="false"/>
            <w:color w:val="000000"/>
            <w:sz w:val="22"/>
          </w:rPr>
          <w:t>661—Chapter 350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2492C</w:t>
      </w:r>
      <w:r>
        <w:rPr>
          <w:rFonts w:ascii="Times New Roman" w:hAnsi="Times New Roman"/>
          <w:b w:val="false"/>
          <w:i w:val="false"/>
          <w:color w:val="000000"/>
          <w:sz w:val="16"/>
        </w:rPr>
        <w:t>, IAB 4/13/16, effective 5/18/16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661—300.2</w:t>
      </w:r>
      <w:r>
        <w:rPr>
          <w:rFonts w:ascii="Times New Roman" w:hAnsi="Times New Roman"/>
          <w:b/>
          <w:i w:val="false"/>
          <w:color w:val="000000"/>
          <w:sz w:val="22"/>
        </w:rPr>
        <w:t xml:space="preserve">(103A) </w:t>
      </w:r>
      <w:r>
        <w:rPr>
          <w:rFonts w:ascii="Times New Roman" w:hAnsi="Times New Roman"/>
          <w:b/>
          <w:i w:val="false"/>
          <w:color w:val="000000"/>
          <w:sz w:val="22"/>
        </w:rPr>
        <w:t xml:space="preserve">Building code commissioner. </w:t>
      </w:r>
      <w:r>
        <w:rPr>
          <w:rFonts w:ascii="Times New Roman" w:hAnsi="Times New Roman"/>
          <w:b w:val="false"/>
          <w:i w:val="false"/>
          <w:color w:val="000000"/>
          <w:sz w:val="22"/>
        </w:rPr>
        <w:t xml:space="preserve">The building code commissioner appointed by the commissioner of public safety pursuant to Iowa Code section </w:t>
      </w:r>
      <w:hyperlink r:id="rId16">
        <w:r>
          <w:rPr>
            <w:rStyle w:val="Hyperlink"/>
            <w:rFonts w:ascii="Times New Roman" w:hAnsi="Times New Roman"/>
            <w:b w:val="false"/>
            <w:i w:val="false"/>
            <w:color w:val="000000"/>
            <w:sz w:val="22"/>
          </w:rPr>
          <w:t>103A.4</w:t>
        </w:r>
      </w:hyperlink>
      <w:r>
        <w:rPr>
          <w:rFonts w:ascii="Times New Roman" w:hAnsi="Times New Roman"/>
          <w:b w:val="false"/>
          <w:i w:val="false"/>
          <w:color w:val="000000"/>
          <w:sz w:val="22"/>
        </w:rPr>
        <w:t xml:space="preserve"> shall serve as the chief of the building code bureau. The building code commissioner shall adopt, and amend as needed, the state building code, with the approval of the building code advisory council, and the state historic building code, with the approval of the state historical society board. The building code commissioner also shall appoint the board of review from among the council membership. The building code commissioner shall consider any request for the use of alternate materials or methods of construction submitted to the building code bureau pursuant to Iowa Code section </w:t>
      </w:r>
      <w:hyperlink r:id="rId17">
        <w:r>
          <w:rPr>
            <w:rStyle w:val="Hyperlink"/>
            <w:rFonts w:ascii="Times New Roman" w:hAnsi="Times New Roman"/>
            <w:b w:val="false"/>
            <w:i w:val="false"/>
            <w:color w:val="000000"/>
            <w:sz w:val="22"/>
          </w:rPr>
          <w:t>103A.13</w:t>
        </w:r>
      </w:hyperlink>
      <w:r>
        <w:rPr>
          <w:rFonts w:ascii="Times New Roman" w:hAnsi="Times New Roman"/>
          <w:b w:val="false"/>
          <w:i w:val="false"/>
          <w:color w:val="000000"/>
          <w:sz w:val="22"/>
        </w:rPr>
        <w:t>, and shall either disapprove each such request or shall recommend approval of the request to the building code advisory council.</w:t>
      </w:r>
    </w:p>
    <w:p>
      <w:pPr>
        <w:spacing w:before="210" w:after="0"/>
        <w:ind w:left="120"/>
        <w:jc w:val="both"/>
      </w:pPr>
      <w:r>
        <w:rPr>
          <w:rFonts w:ascii="Times New Roman" w:hAnsi="Times New Roman"/>
          <w:b/>
          <w:i w:val="false"/>
          <w:color w:val="000000"/>
          <w:sz w:val="22"/>
        </w:rPr>
        <w:t>661—300.3</w:t>
      </w:r>
      <w:r>
        <w:rPr>
          <w:rFonts w:ascii="Times New Roman" w:hAnsi="Times New Roman"/>
          <w:b/>
          <w:i w:val="false"/>
          <w:color w:val="000000"/>
          <w:sz w:val="22"/>
        </w:rPr>
        <w:t xml:space="preserve">(103A) </w:t>
      </w:r>
      <w:r>
        <w:rPr>
          <w:rFonts w:ascii="Times New Roman" w:hAnsi="Times New Roman"/>
          <w:b/>
          <w:i w:val="false"/>
          <w:color w:val="000000"/>
          <w:sz w:val="22"/>
        </w:rPr>
        <w:t xml:space="preserve">Building code advisory council. </w:t>
      </w:r>
      <w:r>
        <w:rPr>
          <w:rFonts w:ascii="Times New Roman" w:hAnsi="Times New Roman"/>
          <w:b w:val="false"/>
          <w:i w:val="false"/>
          <w:color w:val="000000"/>
          <w:sz w:val="22"/>
        </w:rPr>
        <w:t xml:space="preserve">The building code advisory council appointed by the governor pursuant to Iowa Code section </w:t>
      </w:r>
      <w:hyperlink r:id="rId18">
        <w:r>
          <w:rPr>
            <w:rStyle w:val="Hyperlink"/>
            <w:rFonts w:ascii="Times New Roman" w:hAnsi="Times New Roman"/>
            <w:b w:val="false"/>
            <w:i w:val="false"/>
            <w:color w:val="000000"/>
            <w:sz w:val="22"/>
          </w:rPr>
          <w:t>103A.14</w:t>
        </w:r>
      </w:hyperlink>
      <w:r>
        <w:rPr>
          <w:rFonts w:ascii="Times New Roman" w:hAnsi="Times New Roman"/>
          <w:b w:val="false"/>
          <w:i w:val="false"/>
          <w:color w:val="000000"/>
          <w:sz w:val="22"/>
        </w:rPr>
        <w:t xml:space="preserve"> shall consider amendments to the state building code proposed by the building code commissioner, other than amendments to the state historic building code. The council shall approve or disapprove any changes to the state building code proposed by the building code commissioner. The council shall also consider and approve or disapprove any requests for use of alternate materials or methods of construction, the approval of which has been recommended to the council by the building code commissioner.</w:t>
      </w:r>
    </w:p>
    <w:p>
      <w:pPr>
        <w:spacing w:before="0" w:after="0"/>
        <w:ind w:left="120"/>
        <w:jc w:val="both"/>
      </w:pPr>
      <w:r>
        <w:rPr>
          <w:rFonts w:ascii="Times New Roman" w:hAnsi="Times New Roman"/>
          <w:b/>
          <w:i w:val="false"/>
          <w:color w:val="000000"/>
          <w:sz w:val="22"/>
        </w:rPr>
        <w:t>661—300.4</w:t>
      </w:r>
      <w:r>
        <w:rPr>
          <w:rFonts w:ascii="Times New Roman" w:hAnsi="Times New Roman"/>
          <w:b/>
          <w:i w:val="false"/>
          <w:color w:val="000000"/>
          <w:sz w:val="22"/>
        </w:rPr>
        <w:t xml:space="preserve">(103A) </w:t>
      </w:r>
      <w:r>
        <w:rPr>
          <w:rFonts w:ascii="Times New Roman" w:hAnsi="Times New Roman"/>
          <w:b/>
          <w:i w:val="false"/>
          <w:color w:val="000000"/>
          <w:sz w:val="22"/>
        </w:rPr>
        <w:t xml:space="preserve">Plan reviews.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300.4(1)</w:t>
      </w:r>
      <w:r>
        <w:rPr>
          <w:rFonts w:ascii="Times New Roman" w:hAnsi="Times New Roman"/>
          <w:b w:val="false"/>
          <w:i w:val="false"/>
          <w:color w:val="000000"/>
          <w:sz w:val="22"/>
        </w:rPr>
        <w:t> </w:t>
      </w:r>
      <w:r>
        <w:rPr>
          <w:rFonts w:ascii="Times New Roman" w:hAnsi="Times New Roman"/>
          <w:b w:val="false"/>
          <w:i/>
          <w:color w:val="000000"/>
          <w:sz w:val="22"/>
        </w:rPr>
        <w:t xml:space="preserve">Plans and specifications review—approvals.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Submissions to the building code commissioner of architectural technical documents, engineering documents, and plans and specifications are the responsibility of the owner of the building or facility, although the actual submission may be completed by an authorized agent of the owner or the responsible design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“Responsible design professional” means a registered architect or licensed professional engineer who signs the documents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Plans, specifications and other supporting information shall be sufficiently clear and complete to show in detail that the proposed work will comply with the requirements of the applicable provisions of the state building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sections 107.1 and 107.2.5 of the International Building Code, 2015 edition, the word “permit” shall be replaced by the words “plan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Submittals to the commissioner shall be certified or stamped and signed as required by Iowa Code chapters </w:t>
      </w:r>
      <w:hyperlink r:id="rId19">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xml:space="preserve"> unless the applicant has certified on the submittal to the applicability of a specific exception under Iowa Code section </w:t>
      </w:r>
      <w:hyperlink r:id="rId21">
        <w:r>
          <w:rPr>
            <w:rStyle w:val="Hyperlink"/>
            <w:rFonts w:ascii="Times New Roman" w:hAnsi="Times New Roman"/>
            <w:b w:val="false"/>
            <w:i w:val="false"/>
            <w:color w:val="000000"/>
            <w:sz w:val="22"/>
          </w:rPr>
          <w:t>544A.18</w:t>
        </w:r>
      </w:hyperlink>
      <w:r>
        <w:rPr>
          <w:rFonts w:ascii="Times New Roman" w:hAnsi="Times New Roman"/>
          <w:b w:val="false"/>
          <w:i w:val="false"/>
          <w:color w:val="000000"/>
          <w:sz w:val="22"/>
        </w:rPr>
        <w:t xml:space="preserve"> and the submittal does not constitute the practice of professional engineering as defined by Iowa Code section </w:t>
      </w:r>
      <w:hyperlink r:id="rId22">
        <w:r>
          <w:rPr>
            <w:rStyle w:val="Hyperlink"/>
            <w:rFonts w:ascii="Times New Roman" w:hAnsi="Times New Roman"/>
            <w:b w:val="false"/>
            <w:i w:val="false"/>
            <w:color w:val="000000"/>
            <w:sz w:val="22"/>
          </w:rPr>
          <w:t>542B.2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Plans and specifications for projects subject to plan review by the commissioner shall be submitted in a format specified on the plan review submittal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Architectural technical submissions, engineering documents, and plans and specifications for construction, renovation, or remodeling of all state-owned buildings or facilities, including additions to existing buildings, shall be submitted to the commissioner for review and comment. Subsequently, a written response by the design professional indicating corrective measures taken to address the commissioner’s plan review comments shall be submitted to and approved by the commissioner prior to the issuance of construction documents for bidding. Bidding may commence on a project after the preliminary meeting provided for in subrule </w:t>
      </w:r>
      <w:hyperlink r:id="rId23">
        <w:r>
          <w:rPr>
            <w:rStyle w:val="Hyperlink"/>
            <w:rFonts w:ascii="Times New Roman" w:hAnsi="Times New Roman"/>
            <w:b w:val="false"/>
            <w:i w:val="false"/>
            <w:color w:val="000000"/>
            <w:sz w:val="22"/>
          </w:rPr>
          <w:t>300.4(3)</w:t>
        </w:r>
      </w:hyperlink>
      <w:r>
        <w:rPr>
          <w:rFonts w:ascii="Times New Roman" w:hAnsi="Times New Roman"/>
          <w:b w:val="false"/>
          <w:i w:val="false"/>
          <w:color w:val="000000"/>
          <w:sz w:val="22"/>
        </w:rPr>
        <w:t xml:space="preserve"> if all items on the preliminary meeting checklist have been resolved to the satisfaction of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Architectural technical submissions, engineering documents, and plans and specifications for the initial construction of any building or facility that will not, when completed, be wholly owned by the state or an agency of the state shall be submitted to the commissioner for review and comment, if the construction is financed in whole or in part with funds appropriated by the state and there is no local building code in effect in the local jurisdiction in which the construction is planned or, if there is such a local building code in effect, it is not enforced through a system which includes both plan reviews and inspections. Subsequently, a written response by the design professional indicating corrective measures taken to address the commissioner’s plan review comments shall be submitted to and approved by the commissioner prior to the issuance of construction documents for bidding. Bidding may commence on a project after the preliminary meeting provided for in subrule </w:t>
      </w:r>
      <w:hyperlink r:id="rId24">
        <w:r>
          <w:rPr>
            <w:rStyle w:val="Hyperlink"/>
            <w:rFonts w:ascii="Times New Roman" w:hAnsi="Times New Roman"/>
            <w:b w:val="false"/>
            <w:i w:val="false"/>
            <w:color w:val="000000"/>
            <w:sz w:val="22"/>
          </w:rPr>
          <w:t>300.4(3)</w:t>
        </w:r>
      </w:hyperlink>
      <w:r>
        <w:rPr>
          <w:rFonts w:ascii="Times New Roman" w:hAnsi="Times New Roman"/>
          <w:b w:val="false"/>
          <w:i w:val="false"/>
          <w:color w:val="000000"/>
          <w:sz w:val="22"/>
        </w:rPr>
        <w:t xml:space="preserve"> if all items on the preliminary meeting checklist have been resolved to the satisfaction of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Architectural technical submissions, engineering documents, and plans and specifications for construction, renovation, or remodeling of all buildings or facilities, including additions to existing buildings, to which the state building code applies, other than those subject to paragraph </w:t>
      </w:r>
      <w:r>
        <w:rPr>
          <w:rFonts w:ascii="Times New Roman" w:hAnsi="Times New Roman"/>
          <w:b w:val="false"/>
          <w:i/>
          <w:color w:val="000000"/>
          <w:sz w:val="22"/>
        </w:rPr>
        <w:t>“g”</w:t>
      </w:r>
      <w:r>
        <w:rPr>
          <w:rFonts w:ascii="Times New Roman" w:hAnsi="Times New Roman"/>
          <w:b w:val="false"/>
          <w:i w:val="false"/>
          <w:color w:val="000000"/>
          <w:sz w:val="22"/>
        </w:rPr>
        <w:t xml:space="preserve"> or </w:t>
      </w:r>
      <w:r>
        <w:rPr>
          <w:rFonts w:ascii="Times New Roman" w:hAnsi="Times New Roman"/>
          <w:b w:val="false"/>
          <w:i/>
          <w:color w:val="000000"/>
          <w:sz w:val="22"/>
        </w:rPr>
        <w:t>“h,”</w:t>
      </w:r>
      <w:r>
        <w:rPr>
          <w:rFonts w:ascii="Times New Roman" w:hAnsi="Times New Roman"/>
          <w:b w:val="false"/>
          <w:i w:val="false"/>
          <w:color w:val="000000"/>
          <w:sz w:val="22"/>
        </w:rPr>
        <w:t xml:space="preserve"> shall be submitted to the commissioner for review and comment, unless applicability of the state building code is based upon a local ordinance enacted pursuant to Iowa Code section </w:t>
      </w:r>
      <w:hyperlink r:id="rId25">
        <w:r>
          <w:rPr>
            <w:rStyle w:val="Hyperlink"/>
            <w:rFonts w:ascii="Times New Roman" w:hAnsi="Times New Roman"/>
            <w:b w:val="false"/>
            <w:i w:val="false"/>
            <w:color w:val="000000"/>
            <w:sz w:val="22"/>
          </w:rPr>
          <w:t>103A.12</w:t>
        </w:r>
      </w:hyperlink>
      <w:r>
        <w:rPr>
          <w:rFonts w:ascii="Times New Roman" w:hAnsi="Times New Roman"/>
          <w:b w:val="false"/>
          <w:i w:val="false"/>
          <w:color w:val="000000"/>
          <w:sz w:val="22"/>
        </w:rPr>
        <w:t xml:space="preserve">. Subsequently, a written response by the design professional indicating corrective measures taken to address the commissioner’s plan review comments shall be submitted to and approved by the commissioner prior to the issuance of construction documents for bidding. Bidding may commence on a project after the preliminary meeting provided for in subrule </w:t>
      </w:r>
      <w:hyperlink r:id="rId26">
        <w:r>
          <w:rPr>
            <w:rStyle w:val="Hyperlink"/>
            <w:rFonts w:ascii="Times New Roman" w:hAnsi="Times New Roman"/>
            <w:b w:val="false"/>
            <w:i w:val="false"/>
            <w:color w:val="000000"/>
            <w:sz w:val="22"/>
          </w:rPr>
          <w:t>300.4(3)</w:t>
        </w:r>
      </w:hyperlink>
      <w:r>
        <w:rPr>
          <w:rFonts w:ascii="Times New Roman" w:hAnsi="Times New Roman"/>
          <w:b w:val="false"/>
          <w:i w:val="false"/>
          <w:color w:val="000000"/>
          <w:sz w:val="22"/>
        </w:rPr>
        <w:t xml:space="preserve"> if all items on the preliminary meeting checklist have been resolved to the satisfaction of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If the state building code applies to a construction project based upon a local ordinance adopting the state building code, the submission shall be made to the local jurisdiction, provided that the local jurisdiction has established a building department, unless the local jurisdiction requires submission to the commissioner. Review and approval of such documents by the commissioner shall be at the discretion of the commissioner based upon available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No project for which a life cycle cost analysis is required to be completed pursuant to Iowa Code section </w:t>
      </w:r>
      <w:hyperlink r:id="rId27">
        <w:r>
          <w:rPr>
            <w:rStyle w:val="Hyperlink"/>
            <w:rFonts w:ascii="Times New Roman" w:hAnsi="Times New Roman"/>
            <w:b w:val="false"/>
            <w:i w:val="false"/>
            <w:color w:val="000000"/>
            <w:sz w:val="22"/>
          </w:rPr>
          <w:t>470.2</w:t>
        </w:r>
      </w:hyperlink>
      <w:r>
        <w:rPr>
          <w:rFonts w:ascii="Times New Roman" w:hAnsi="Times New Roman"/>
          <w:b w:val="false"/>
          <w:i w:val="false"/>
          <w:color w:val="000000"/>
          <w:sz w:val="22"/>
        </w:rPr>
        <w:t xml:space="preserve"> shall be approved for construction prior to receipt by the commissioner of the life cycle cost analysis, final approval of the life cycle cost analysis by the commissioner and the economic development authority pursuant to Iowa Code section </w:t>
      </w:r>
      <w:hyperlink r:id="rId28">
        <w:r>
          <w:rPr>
            <w:rStyle w:val="Hyperlink"/>
            <w:rFonts w:ascii="Times New Roman" w:hAnsi="Times New Roman"/>
            <w:b w:val="false"/>
            <w:i w:val="false"/>
            <w:color w:val="000000"/>
            <w:sz w:val="22"/>
          </w:rPr>
          <w:t>470.7</w:t>
        </w:r>
      </w:hyperlink>
      <w:r>
        <w:rPr>
          <w:rFonts w:ascii="Times New Roman" w:hAnsi="Times New Roman"/>
          <w:b w:val="false"/>
          <w:i w:val="false"/>
          <w:color w:val="000000"/>
          <w:sz w:val="22"/>
        </w:rPr>
        <w:t xml:space="preserve">, and the completion of all applicable requirements established in Iowa Code section </w:t>
      </w:r>
      <w:hyperlink r:id="rId29">
        <w:r>
          <w:rPr>
            <w:rStyle w:val="Hyperlink"/>
            <w:rFonts w:ascii="Times New Roman" w:hAnsi="Times New Roman"/>
            <w:b w:val="false"/>
            <w:i w:val="false"/>
            <w:color w:val="000000"/>
            <w:sz w:val="22"/>
          </w:rPr>
          <w:t>470.7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No project for which an energy review is required pursuant to subrule </w:t>
      </w:r>
      <w:hyperlink r:id="rId30">
        <w:r>
          <w:rPr>
            <w:rStyle w:val="Hyperlink"/>
            <w:rFonts w:ascii="Times New Roman" w:hAnsi="Times New Roman"/>
            <w:b w:val="false"/>
            <w:i w:val="false"/>
            <w:color w:val="000000"/>
            <w:sz w:val="22"/>
          </w:rPr>
          <w:t>303.1(3)</w:t>
        </w:r>
      </w:hyperlink>
      <w:r>
        <w:rPr>
          <w:rFonts w:ascii="Times New Roman" w:hAnsi="Times New Roman"/>
          <w:b w:val="false"/>
          <w:i w:val="false"/>
          <w:color w:val="000000"/>
          <w:sz w:val="22"/>
        </w:rPr>
        <w:t xml:space="preserve"> shall be approved for construction prior to the receipt by the commissioner of the energy review.</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 xml:space="preserve">Compliance with the requirements of paragraphs </w:t>
      </w:r>
      <w:r>
        <w:rPr>
          <w:rFonts w:ascii="Times New Roman" w:hAnsi="Times New Roman"/>
          <w:b w:val="false"/>
          <w:i/>
          <w:color w:val="000000"/>
          <w:sz w:val="22"/>
        </w:rPr>
        <w:t>“k”</w:t>
      </w:r>
      <w:r>
        <w:rPr>
          <w:rFonts w:ascii="Times New Roman" w:hAnsi="Times New Roman"/>
          <w:b w:val="false"/>
          <w:i w:val="false"/>
          <w:color w:val="000000"/>
          <w:sz w:val="22"/>
        </w:rPr>
        <w:t xml:space="preserve"> and </w:t>
      </w:r>
      <w:r>
        <w:rPr>
          <w:rFonts w:ascii="Times New Roman" w:hAnsi="Times New Roman"/>
          <w:b w:val="false"/>
          <w:i/>
          <w:color w:val="000000"/>
          <w:sz w:val="22"/>
        </w:rPr>
        <w:t>“l”</w:t>
      </w:r>
      <w:r>
        <w:rPr>
          <w:rFonts w:ascii="Times New Roman" w:hAnsi="Times New Roman"/>
          <w:b w:val="false"/>
          <w:i w:val="false"/>
          <w:color w:val="000000"/>
          <w:sz w:val="22"/>
        </w:rPr>
        <w:t xml:space="preserve"> at the earliest practical time is strongly recommended. In no case shall the submission occur later than specified in the applicable statutory provisions and provisions of the state building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Any submission to the commissioner of architectural technical submissions, engineering documents, or plans and specifications for construction, except for plans to renovate or remodel residential buildings of one or two units, shall include a statement that the construction will comply with all applicable energy conservation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300.4(2)</w:t>
      </w:r>
      <w:r>
        <w:rPr>
          <w:rFonts w:ascii="Times New Roman" w:hAnsi="Times New Roman"/>
          <w:b w:val="false"/>
          <w:i w:val="false"/>
          <w:color w:val="000000"/>
          <w:sz w:val="22"/>
        </w:rPr>
        <w:t> </w:t>
      </w:r>
      <w:r>
        <w:rPr>
          <w:rFonts w:ascii="Times New Roman" w:hAnsi="Times New Roman"/>
          <w:b w:val="false"/>
          <w:i/>
          <w:color w:val="000000"/>
          <w:sz w:val="22"/>
        </w:rPr>
        <w:t xml:space="preserve">Copies and fees. </w:t>
      </w:r>
      <w:r>
        <w:rPr>
          <w:rFonts w:ascii="Times New Roman" w:hAnsi="Times New Roman"/>
          <w:b w:val="false"/>
          <w:i w:val="false"/>
          <w:color w:val="000000"/>
          <w:sz w:val="22"/>
        </w:rPr>
        <w:t xml:space="preserve">See </w:t>
      </w:r>
      <w:hyperlink r:id="rId31">
        <w:r>
          <w:rPr>
            <w:rStyle w:val="Hyperlink"/>
            <w:rFonts w:ascii="Times New Roman" w:hAnsi="Times New Roman"/>
            <w:b w:val="false"/>
            <w:i w:val="false"/>
            <w:color w:val="000000"/>
            <w:sz w:val="22"/>
          </w:rPr>
          <w:t>661—Chapters 16</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322</w:t>
        </w:r>
      </w:hyperlink>
      <w:r>
        <w:rPr>
          <w:rFonts w:ascii="Times New Roman" w:hAnsi="Times New Roman"/>
          <w:b w:val="false"/>
          <w:i w:val="false"/>
          <w:color w:val="000000"/>
          <w:sz w:val="22"/>
        </w:rPr>
        <w:t xml:space="preserve"> for fees pertaining to factory-built structures.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Codes and standards adopted by reference in the state building code which are published by other organizations, including, but not limited to, the American National Standards Institute, the International Code Council, the International Association of Plumbing and Mechanical Officials, and the National Fire Protection Association, may be purchased from the publishing organization. A copy of each code or standard adopted by reference in the state building code has been deposited in the Iowa state law library.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fees for plan reviews completed by the building code bureau shall be calculated as follows: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6651"/>
        <w:gridCol w:w="4539"/>
      </w:tblGrid>
      <w:tr>
        <w:trPr>
          <w:trHeight w:val="225" w:hRule="atLeast"/>
        </w:trPr>
        <w:tc>
          <w:tcPr>
            <w:tcW w:w="66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i w:val="false"/>
                <w:color w:val="000000"/>
                <w:sz w:val="16"/>
              </w:rPr>
              <w:t>Estimated Construction Costs</w:t>
            </w:r>
          </w:p>
        </w:tc>
        <w:tc>
          <w:tcPr>
            <w:tcW w:w="4539"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6"/>
              </w:rPr>
              <w:t>Calculation of Plan Review Fee</w:t>
            </w:r>
          </w:p>
        </w:tc>
      </w:tr>
      <w:tr>
        <w:trPr>
          <w:trHeight w:val="405" w:hRule="atLeast"/>
        </w:trPr>
        <w:tc>
          <w:tcPr>
            <w:tcW w:w="66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Up to and including $1 million</w:t>
            </w:r>
          </w:p>
        </w:tc>
        <w:tc>
          <w:tcPr>
            <w:tcW w:w="4539"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$.58 per thousand dollars or fraction thereof (minimum fee $200)</w:t>
            </w:r>
          </w:p>
        </w:tc>
      </w:tr>
      <w:tr>
        <w:trPr>
          <w:trHeight w:val="405" w:hRule="atLeast"/>
        </w:trPr>
        <w:tc>
          <w:tcPr>
            <w:tcW w:w="66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More than $1 million</w:t>
            </w:r>
          </w:p>
        </w:tc>
        <w:tc>
          <w:tcPr>
            <w:tcW w:w="4539"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$580 for the first $1 million plus $.32 for each additional thousand dollars or fraction thereof</w:t>
            </w:r>
          </w:p>
        </w:tc>
      </w:tr>
      <w:tr>
        <w:trPr>
          <w:trHeight w:val="225" w:hRule="atLeast"/>
        </w:trPr>
        <w:tc>
          <w:tcPr>
            <w:tcW w:w="0" w:type="auto"/>
            <w:gridSpan w:val="2"/>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The plan review fees for fire suppression systems and fire alarm systems are separate fees and shall be calculated as follows:</w:t>
            </w:r>
          </w:p>
        </w:tc>
      </w:tr>
      <w:tr>
        <w:trPr>
          <w:trHeight w:val="225" w:hRule="atLeast"/>
        </w:trPr>
        <w:tc>
          <w:tcPr>
            <w:tcW w:w="66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i w:val="false"/>
                <w:color w:val="000000"/>
                <w:sz w:val="16"/>
              </w:rPr>
              <w:t>Fire Protection System Costs</w:t>
            </w:r>
          </w:p>
        </w:tc>
        <w:tc>
          <w:tcPr>
            <w:tcW w:w="4539"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6"/>
              </w:rPr>
              <w:t>Plan Review Fee</w:t>
            </w:r>
          </w:p>
        </w:tc>
      </w:tr>
      <w:tr>
        <w:trPr>
          <w:trHeight w:val="405" w:hRule="atLeast"/>
        </w:trPr>
        <w:tc>
          <w:tcPr>
            <w:tcW w:w="66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Fire suppression systems whose construction cost for materials and installation is calculated to be up to and including $5,000</w:t>
            </w:r>
          </w:p>
        </w:tc>
        <w:tc>
          <w:tcPr>
            <w:tcW w:w="4539"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$100</w:t>
            </w:r>
          </w:p>
        </w:tc>
      </w:tr>
      <w:tr>
        <w:trPr>
          <w:trHeight w:val="585" w:hRule="atLeast"/>
        </w:trPr>
        <w:tc>
          <w:tcPr>
            <w:tcW w:w="66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Fire suppression systems whose construction cost for materials and installation is calculated to be more than $5,000 and up to and including $20,000</w:t>
            </w:r>
          </w:p>
        </w:tc>
        <w:tc>
          <w:tcPr>
            <w:tcW w:w="4539"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$200</w:t>
            </w:r>
          </w:p>
        </w:tc>
      </w:tr>
      <w:tr>
        <w:trPr>
          <w:trHeight w:val="465" w:hRule="atLeast"/>
        </w:trPr>
        <w:tc>
          <w:tcPr>
            <w:tcW w:w="66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Fire suppression systems whose construction cost for materials and installation is estimated to be more than $20,000</w:t>
            </w:r>
          </w:p>
        </w:tc>
        <w:tc>
          <w:tcPr>
            <w:tcW w:w="4539"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$400</w:t>
            </w:r>
          </w:p>
        </w:tc>
      </w:tr>
      <w:tr>
        <w:trPr>
          <w:trHeight w:val="405" w:hRule="atLeast"/>
        </w:trPr>
        <w:tc>
          <w:tcPr>
            <w:tcW w:w="66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Fire alarm systems whose construction cost for materials and installation is calculated to be up to and including $5,000</w:t>
            </w:r>
          </w:p>
        </w:tc>
        <w:tc>
          <w:tcPr>
            <w:tcW w:w="4539"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$100</w:t>
            </w:r>
          </w:p>
        </w:tc>
      </w:tr>
      <w:tr>
        <w:trPr>
          <w:trHeight w:val="405" w:hRule="atLeast"/>
        </w:trPr>
        <w:tc>
          <w:tcPr>
            <w:tcW w:w="66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Fire alarm systems whose construction cost for materials and installation is calculated to be more than $5,000 and up to and including $20,000</w:t>
            </w:r>
          </w:p>
        </w:tc>
        <w:tc>
          <w:tcPr>
            <w:tcW w:w="4539"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$200</w:t>
            </w:r>
          </w:p>
        </w:tc>
      </w:tr>
      <w:tr>
        <w:trPr>
          <w:trHeight w:val="405" w:hRule="atLeast"/>
        </w:trPr>
        <w:tc>
          <w:tcPr>
            <w:tcW w:w="6651"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Fire alarm systems whose construction cost for materials and installation is estimated to be more than $20,000</w:t>
            </w:r>
          </w:p>
        </w:tc>
        <w:tc>
          <w:tcPr>
            <w:tcW w:w="4539"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$400</w:t>
            </w:r>
          </w:p>
        </w:tc>
      </w:tr>
    </w:tbl>
    <w:p>
      <w:pPr>
        <w:spacing w:before="0" w:after="0"/>
        <w:ind w:left="120"/>
        <w:jc w:val="both"/>
      </w:pPr>
      <w:r>
        <w:rPr>
          <w:rFonts w:ascii="Times New Roman" w:hAnsi="Times New Roman"/>
          <w:b w:val="false"/>
          <w:i w:val="false"/>
          <w:color w:val="000000"/>
          <w:sz w:val="22"/>
        </w:rPr>
        <w:t>Payment of the assigned fee shall accompany each plan when submitted for review. Payment shall be made by money order, check or draft made payable to the Treasurer, State of Iowa.</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Plan review fees for assisted living projects are contained in Iowa Code section </w:t>
      </w:r>
      <w:hyperlink r:id="rId33">
        <w:r>
          <w:rPr>
            <w:rStyle w:val="Hyperlink"/>
            <w:rFonts w:ascii="Times New Roman" w:hAnsi="Times New Roman"/>
            <w:b w:val="false"/>
            <w:i w:val="false"/>
            <w:color w:val="000000"/>
            <w:sz w:val="22"/>
          </w:rPr>
          <w:t>231C.18(2)</w:t>
        </w:r>
        <w:r>
          <w:rPr>
            <w:rFonts w:ascii="Times New Roman" w:hAnsi="Times New Roman"/>
            <w:b w:val="false"/>
            <w:i/>
            <w:color w:val="000000"/>
            <w:sz w:val="22"/>
          </w:rPr>
          <w:t>“c.”</w:t>
        </w:r>
      </w:hyperlink>
      <w:r>
        <w:rPr>
          <w:rFonts w:ascii="Times New Roman" w:hAnsi="Times New Roman"/>
          <w:b w:val="false"/>
          <w:i w:val="false"/>
          <w:color w:val="000000"/>
          <w:sz w:val="22"/>
        </w:rPr>
        <w:t xml:space="preserve"> Elder group home plan review fees are contained in Iowa Code section </w:t>
      </w:r>
      <w:hyperlink r:id="rId34">
        <w:r>
          <w:rPr>
            <w:rStyle w:val="Hyperlink"/>
            <w:rFonts w:ascii="Times New Roman" w:hAnsi="Times New Roman"/>
            <w:b w:val="false"/>
            <w:i w:val="false"/>
            <w:color w:val="000000"/>
            <w:sz w:val="22"/>
          </w:rPr>
          <w:t>231B.17</w:t>
        </w:r>
      </w:hyperlink>
      <w:r>
        <w:rPr>
          <w:rFonts w:ascii="Times New Roman" w:hAnsi="Times New Roman"/>
          <w:b w:val="false"/>
          <w:i w:val="false"/>
          <w:color w:val="000000"/>
          <w:sz w:val="22"/>
        </w:rPr>
        <w:t xml:space="preserve">. Adult day services plan review fees are contained in Iowa Code section </w:t>
      </w:r>
      <w:hyperlink r:id="rId35">
        <w:r>
          <w:rPr>
            <w:rStyle w:val="Hyperlink"/>
            <w:rFonts w:ascii="Times New Roman" w:hAnsi="Times New Roman"/>
            <w:b w:val="false"/>
            <w:i w:val="false"/>
            <w:color w:val="000000"/>
            <w:sz w:val="22"/>
          </w:rPr>
          <w:t>231D.4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has submitted a plan for review for which a fee has been assessed pursuant to paragraph </w:t>
      </w:r>
      <w:r>
        <w:rPr>
          <w:rFonts w:ascii="Times New Roman" w:hAnsi="Times New Roman"/>
          <w:b w:val="false"/>
          <w:i/>
          <w:color w:val="000000"/>
          <w:sz w:val="22"/>
        </w:rPr>
        <w:t>“b”</w:t>
      </w:r>
      <w:r>
        <w:rPr>
          <w:rFonts w:ascii="Times New Roman" w:hAnsi="Times New Roman"/>
          <w:b w:val="false"/>
          <w:i w:val="false"/>
          <w:color w:val="000000"/>
          <w:sz w:val="22"/>
        </w:rPr>
        <w:t xml:space="preserve"> is eligible to receive a refund of the fee if the plan has not been approved or rejected within 60 calendar days of its receipt by the building code bureau. A person who believes that a refund is due shall notify the building code commissioner who shall provide a form to the person who submitted the plan for review to request a refund. If the request for refund is approved, the building code commissioner shall cause a check for the amount of the refund to be issued to the individual or organization that originally paid the fee. If the original submission of the plan is incomplete, the fee shall be refunded only if the plan has not been approved or rejected within 60 days of a full and complete submission of the plan. “Approved or rejected within 60 days” means that a letter approving or rejecting the plan has been presented or mailed to the submitter within 60 days of the date of receipt by the building code bureau, within the meaning of “time” as defined in Iowa Code section </w:t>
      </w:r>
      <w:hyperlink r:id="rId36">
        <w:r>
          <w:rPr>
            <w:rStyle w:val="Hyperlink"/>
            <w:rFonts w:ascii="Times New Roman" w:hAnsi="Times New Roman"/>
            <w:b w:val="false"/>
            <w:i w:val="false"/>
            <w:color w:val="000000"/>
            <w:sz w:val="22"/>
          </w:rPr>
          <w:t>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300.4(3)</w:t>
      </w:r>
      <w:r>
        <w:rPr>
          <w:rFonts w:ascii="Times New Roman" w:hAnsi="Times New Roman"/>
          <w:b w:val="false"/>
          <w:i w:val="false"/>
          <w:color w:val="000000"/>
          <w:sz w:val="22"/>
        </w:rPr>
        <w:t> </w:t>
      </w:r>
      <w:r>
        <w:rPr>
          <w:rFonts w:ascii="Times New Roman" w:hAnsi="Times New Roman"/>
          <w:b w:val="false"/>
          <w:i/>
          <w:color w:val="000000"/>
          <w:sz w:val="22"/>
        </w:rPr>
        <w:t xml:space="preserve">Preliminary meeting. </w:t>
      </w:r>
      <w:r>
        <w:rPr>
          <w:rFonts w:ascii="Times New Roman" w:hAnsi="Times New Roman"/>
          <w:b w:val="false"/>
          <w:i w:val="false"/>
          <w:color w:val="000000"/>
          <w:sz w:val="22"/>
        </w:rPr>
        <w:t>The responsible design professional for a project shall schedule a preliminary meeting with the building code bureau to discuss code compliance issues early in the design development phase. The responsible design professional shall contact the bureau to schedule the preliminary meeting. There is no separate fee for a preliminary meeting. If the responsible design professional plans to request approval to bid the project as part of the preliminary meeting, the responsible design professional shall request a copy of the document “Preliminary Meeting Checklist” at the time the meeting is scheduled and shall be prepared to address all applicable issues identified on the checklist at the preliminary meeting. Approval to bid the project shall not be given unless all applicable issues identified on the checklist have been addressed to the satisfaction of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300.4(4)</w:t>
      </w:r>
      <w:r>
        <w:rPr>
          <w:rFonts w:ascii="Times New Roman" w:hAnsi="Times New Roman"/>
          <w:b w:val="false"/>
          <w:i w:val="false"/>
          <w:color w:val="000000"/>
          <w:sz w:val="22"/>
        </w:rPr>
        <w:t> </w:t>
      </w:r>
      <w:r>
        <w:rPr>
          <w:rFonts w:ascii="Times New Roman" w:hAnsi="Times New Roman"/>
          <w:b w:val="false"/>
          <w:i/>
          <w:color w:val="000000"/>
          <w:sz w:val="22"/>
        </w:rPr>
        <w:t xml:space="preserve">Requests for staged approvals.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Requests for approval to begin foundation work shall be submitted to the building code bureau in writing and may be transmitted by mail, E-mail or fax or in person. Foundation approval may be granted by the bureau in writing, following a preliminary meeting, if the construction plans and specifications are found to be in compliance with the requisite code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Requests for approval to continue construction beyond the foundation, up to and including the shell of the building, shall be submitted to the bureau in writing and may be transmitted by mail, E-mail or fax or in person. These requests will be evaluated on a case-by-case basis, and approval or denial of the requests will be transmitted to the submitter in a written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300.4(5)</w:t>
      </w:r>
      <w:r>
        <w:rPr>
          <w:rFonts w:ascii="Times New Roman" w:hAnsi="Times New Roman"/>
          <w:b w:val="false"/>
          <w:i w:val="false"/>
          <w:color w:val="000000"/>
          <w:sz w:val="22"/>
        </w:rPr>
        <w:t> </w:t>
      </w:r>
      <w:r>
        <w:rPr>
          <w:rFonts w:ascii="Times New Roman" w:hAnsi="Times New Roman"/>
          <w:b w:val="false"/>
          <w:i/>
          <w:color w:val="000000"/>
          <w:sz w:val="22"/>
        </w:rPr>
        <w:t xml:space="preserve">Fast-track projects. </w:t>
      </w:r>
      <w:r>
        <w:rPr>
          <w:rFonts w:ascii="Times New Roman" w:hAnsi="Times New Roman"/>
          <w:b w:val="false"/>
          <w:i w:val="false"/>
          <w:color w:val="000000"/>
          <w:sz w:val="22"/>
        </w:rPr>
        <w:t>While fast-track projects are not encouraged, fast-track projects may be considered by the commissioner on a case-by-case basis. If a fast-track project is initially approved, a written plan of submittal, review and approval will be developed for each project. All projects approved for fast-track review must be submitted in an electronic format that is acceptable to the commissioner.</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Fast-track projects are not encouraged and will be approved only on the basis of good cause shown.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8305B</w:t>
      </w:r>
      <w:r>
        <w:rPr>
          <w:rFonts w:ascii="Times New Roman" w:hAnsi="Times New Roman"/>
          <w:b w:val="false"/>
          <w:i w:val="false"/>
          <w:color w:val="000000"/>
          <w:sz w:val="16"/>
        </w:rPr>
        <w:t>, IAB 11/18/09,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2492C</w:t>
      </w:r>
      <w:r>
        <w:rPr>
          <w:rFonts w:ascii="Times New Roman" w:hAnsi="Times New Roman"/>
          <w:b w:val="false"/>
          <w:i w:val="false"/>
          <w:color w:val="000000"/>
          <w:sz w:val="16"/>
        </w:rPr>
        <w:t>, IAB 4/13/16, effective 5/18/16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661—300.5</w:t>
      </w:r>
      <w:r>
        <w:rPr>
          <w:rFonts w:ascii="Times New Roman" w:hAnsi="Times New Roman"/>
          <w:b/>
          <w:i w:val="false"/>
          <w:color w:val="000000"/>
          <w:sz w:val="22"/>
        </w:rPr>
        <w:t xml:space="preserve">(103A) </w:t>
      </w:r>
      <w:r>
        <w:rPr>
          <w:rFonts w:ascii="Times New Roman" w:hAnsi="Times New Roman"/>
          <w:b/>
          <w:i w:val="false"/>
          <w:color w:val="000000"/>
          <w:sz w:val="22"/>
        </w:rPr>
        <w:t xml:space="preserve">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300.5(1)</w:t>
      </w:r>
      <w:r>
        <w:rPr>
          <w:rFonts w:ascii="Times New Roman" w:hAnsi="Times New Roman"/>
          <w:b w:val="false"/>
          <w:i w:val="false"/>
          <w:color w:val="000000"/>
          <w:sz w:val="22"/>
        </w:rPr>
        <w:t> </w:t>
      </w:r>
      <w:r>
        <w:rPr>
          <w:rFonts w:ascii="Times New Roman" w:hAnsi="Times New Roman"/>
          <w:b w:val="false"/>
          <w:i w:val="false"/>
          <w:color w:val="000000"/>
          <w:sz w:val="22"/>
        </w:rPr>
        <w:t>Any building or facility for which construction is subject to a plan review by the commissioner, except construction involving any building or facility owned by the board of regents or by any institution subject to the authority of the board of regents, shall be subject to inspection by the commissioner or staff of the bureau or division at the direction of the commissioner or by a third party with whom the commissioner contracts to conduct inspections of buildings and facilities subject to the state building code.</w:t>
      </w:r>
    </w:p>
    <w:p>
      <w:pPr>
        <w:spacing w:before="0" w:after="0"/>
        <w:ind w:left="120"/>
        <w:jc w:val="both"/>
      </w:pPr>
      <w:r>
        <w:rPr>
          <w:rFonts w:ascii="Times New Roman" w:hAnsi="Times New Roman"/>
          <w:b w:val="false"/>
          <w:i w:val="false"/>
          <w:color w:val="000000"/>
          <w:sz w:val="22"/>
        </w:rPr>
        <w:t xml:space="preserve">Exception: </w:t>
      </w:r>
    </w:p>
    <w:p>
      <w:pPr>
        <w:spacing w:before="0" w:after="0"/>
        <w:ind w:left="120"/>
        <w:jc w:val="both"/>
      </w:pPr>
      <w:r>
        <w:rPr>
          <w:rFonts w:ascii="Times New Roman" w:hAnsi="Times New Roman"/>
          <w:b w:val="false"/>
          <w:i w:val="false"/>
          <w:color w:val="000000"/>
          <w:sz w:val="22"/>
        </w:rPr>
        <w:t>Construction which is limited to building renovations or repairs shall not be subject to inspection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300.5(2)</w:t>
      </w:r>
      <w:r>
        <w:rPr>
          <w:rFonts w:ascii="Times New Roman" w:hAnsi="Times New Roman"/>
          <w:b w:val="false"/>
          <w:i w:val="false"/>
          <w:color w:val="000000"/>
          <w:sz w:val="22"/>
        </w:rPr>
        <w:t> </w:t>
      </w:r>
      <w:r>
        <w:rPr>
          <w:rFonts w:ascii="Times New Roman" w:hAnsi="Times New Roman"/>
          <w:b w:val="false"/>
          <w:i w:val="false"/>
          <w:color w:val="000000"/>
          <w:sz w:val="22"/>
        </w:rPr>
        <w:t>Any construction involving any building or facility owned by the board of regents or by an institution subject to the authority of the board of regents shall be subject to inspection by the commissioner or staff of the bureau or division at the direction of the commissioner.</w:t>
      </w:r>
    </w:p>
    <w:p>
      <w:pPr>
        <w:spacing w:before="0" w:after="0"/>
        <w:ind w:left="120"/>
        <w:jc w:val="both"/>
      </w:pPr>
      <w:r>
        <w:rPr>
          <w:rFonts w:ascii="Times New Roman" w:hAnsi="Times New Roman"/>
          <w:b w:val="false"/>
          <w:i w:val="false"/>
          <w:color w:val="000000"/>
          <w:sz w:val="22"/>
        </w:rPr>
        <w:t xml:space="preserve">Exception: </w:t>
      </w:r>
    </w:p>
    <w:p>
      <w:pPr>
        <w:spacing w:before="0" w:after="0"/>
        <w:ind w:left="120"/>
        <w:jc w:val="both"/>
      </w:pPr>
      <w:r>
        <w:rPr>
          <w:rFonts w:ascii="Times New Roman" w:hAnsi="Times New Roman"/>
          <w:b w:val="false"/>
          <w:i w:val="false"/>
          <w:color w:val="000000"/>
          <w:sz w:val="22"/>
        </w:rPr>
        <w:t xml:space="preserve"> Construction which is limited to building renovations or repairs shall not be subject to inspection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300.5(3)</w:t>
      </w:r>
      <w:r>
        <w:rPr>
          <w:rFonts w:ascii="Times New Roman" w:hAnsi="Times New Roman"/>
          <w:b w:val="false"/>
          <w:i w:val="false"/>
          <w:color w:val="000000"/>
          <w:sz w:val="22"/>
        </w:rPr>
        <w:t> </w:t>
      </w:r>
      <w:r>
        <w:rPr>
          <w:rFonts w:ascii="Times New Roman" w:hAnsi="Times New Roman"/>
          <w:b w:val="false"/>
          <w:i w:val="false"/>
          <w:color w:val="000000"/>
          <w:sz w:val="22"/>
        </w:rPr>
        <w:t>Buildings subject to inspection by the state building code commissioner, except construction involving any building or facility owned by the board of regents or by any institution subject to the authority of the board of regents, shall pay an inspection fee based upon the construction cost of the project. The inspection fee shall be calculated as follows: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6194"/>
        <w:gridCol w:w="4996"/>
      </w:tblGrid>
      <w:tr>
        <w:trPr>
          <w:trHeight w:val="225" w:hRule="atLeast"/>
        </w:trPr>
        <w:tc>
          <w:tcPr>
            <w:tcW w:w="61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Construction Cost</w:t>
            </w:r>
          </w:p>
        </w:tc>
        <w:tc>
          <w:tcPr>
            <w:tcW w:w="499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Base Inspection Fee</w:t>
            </w:r>
          </w:p>
        </w:tc>
      </w:tr>
      <w:tr>
        <w:trPr>
          <w:trHeight w:val="225" w:hRule="atLeast"/>
        </w:trPr>
        <w:tc>
          <w:tcPr>
            <w:tcW w:w="61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Up to $100,000</w:t>
            </w:r>
          </w:p>
        </w:tc>
        <w:tc>
          <w:tcPr>
            <w:tcW w:w="499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$598</w:t>
            </w:r>
          </w:p>
        </w:tc>
      </w:tr>
      <w:tr>
        <w:trPr>
          <w:trHeight w:val="225" w:hRule="atLeast"/>
        </w:trPr>
        <w:tc>
          <w:tcPr>
            <w:tcW w:w="61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$100,001 to $1,000,000</w:t>
            </w:r>
          </w:p>
        </w:tc>
        <w:tc>
          <w:tcPr>
            <w:tcW w:w="499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$645</w:t>
            </w:r>
          </w:p>
        </w:tc>
      </w:tr>
      <w:tr>
        <w:trPr>
          <w:trHeight w:val="225" w:hRule="atLeast"/>
        </w:trPr>
        <w:tc>
          <w:tcPr>
            <w:tcW w:w="61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$1,000,001 to $10,000,000</w:t>
            </w:r>
          </w:p>
        </w:tc>
        <w:tc>
          <w:tcPr>
            <w:tcW w:w="499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$722</w:t>
            </w:r>
          </w:p>
        </w:tc>
      </w:tr>
      <w:tr>
        <w:trPr>
          <w:trHeight w:val="225" w:hRule="atLeast"/>
        </w:trPr>
        <w:tc>
          <w:tcPr>
            <w:tcW w:w="61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$10,000,001 and above</w:t>
            </w:r>
          </w:p>
        </w:tc>
        <w:tc>
          <w:tcPr>
            <w:tcW w:w="499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$783</w:t>
            </w:r>
          </w:p>
        </w:tc>
      </w:tr>
      <w:tr>
        <w:trPr>
          <w:trHeight w:val="225" w:hRule="atLeast"/>
        </w:trPr>
        <w:tc>
          <w:tcPr>
            <w:tcW w:w="619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Follow-up inspection</w:t>
            </w:r>
          </w:p>
        </w:tc>
        <w:tc>
          <w:tcPr>
            <w:tcW w:w="49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$214</w:t>
            </w:r>
          </w:p>
        </w:tc>
      </w:tr>
    </w:tbl>
    <w:p>
      <w:pPr>
        <w:spacing w:before="0" w:after="0"/>
        <w:ind w:left="120"/>
        <w:jc w:val="both"/>
      </w:pPr>
      <w:r>
        <w:rPr>
          <w:rFonts w:ascii="Times New Roman" w:hAnsi="Times New Roman"/>
          <w:b w:val="false"/>
          <w:i w:val="false"/>
          <w:color w:val="000000"/>
          <w:sz w:val="22"/>
        </w:rPr>
        <w:t xml:space="preserve">The base inspection fee shall cover three inspections—a foundation, rough-in and final. The base inspection fee shall be due and payable at the time completed construction documents are submitted for review. The plan review will not be conducted until the proper base inspection fee is paid. Checks should be made payable to the Treasurer, State of Iowa, and delivered to the bureau office. This fee is separate and distinct from the plan review fee established in subrule </w:t>
      </w:r>
      <w:hyperlink r:id="rId37">
        <w:r>
          <w:rPr>
            <w:rStyle w:val="Hyperlink"/>
            <w:rFonts w:ascii="Times New Roman" w:hAnsi="Times New Roman"/>
            <w:b w:val="false"/>
            <w:i w:val="false"/>
            <w:color w:val="000000"/>
            <w:sz w:val="22"/>
          </w:rPr>
          <w:t>300.4(2)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Additional inspections may occur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During one of the three base inspections, code violations are identified that require that a follow-up inspection be conducted to verify that the violations have been corrected.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arrival, the inspector finds that the project is not ready for the type of inspection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By special request of the project designer, contractor or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order of the building code commissioner (no additional charge).</w:t>
      </w:r>
    </w:p>
    <w:p>
      <w:pPr>
        <w:spacing w:before="0" w:after="0"/>
        <w:ind w:left="120"/>
        <w:jc w:val="both"/>
      </w:pPr>
      <w:r>
        <w:rPr>
          <w:rFonts w:ascii="Times New Roman" w:hAnsi="Times New Roman"/>
          <w:b w:val="false"/>
          <w:i w:val="false"/>
          <w:color w:val="000000"/>
          <w:sz w:val="22"/>
        </w:rPr>
        <w:t>The fee for each additional inspection shall be calculated individually as follows:</w:t>
      </w:r>
    </w:p>
    <w:p>
      <w:pPr>
        <w:spacing w:before="0" w:after="0"/>
        <w:ind w:left="120"/>
        <w:jc w:val="both"/>
      </w:pPr>
      <w:r>
        <w:rPr>
          <w:rFonts w:ascii="Times New Roman" w:hAnsi="Times New Roman"/>
          <w:b w:val="false"/>
          <w:i w:val="false"/>
          <w:color w:val="000000"/>
          <w:sz w:val="22"/>
        </w:rPr>
        <w:t>One hour on site = $206</w:t>
      </w:r>
    </w:p>
    <w:p>
      <w:pPr>
        <w:spacing w:before="0" w:after="0"/>
        <w:ind w:left="120"/>
        <w:jc w:val="both"/>
      </w:pPr>
      <w:r>
        <w:rPr>
          <w:rFonts w:ascii="Times New Roman" w:hAnsi="Times New Roman"/>
          <w:b w:val="false"/>
          <w:i w:val="false"/>
          <w:color w:val="000000"/>
          <w:sz w:val="22"/>
        </w:rPr>
        <w:t>One to two hours on site = $240</w:t>
      </w:r>
    </w:p>
    <w:p>
      <w:pPr>
        <w:spacing w:before="0" w:after="0"/>
        <w:ind w:left="120"/>
        <w:jc w:val="both"/>
      </w:pPr>
      <w:r>
        <w:rPr>
          <w:rFonts w:ascii="Times New Roman" w:hAnsi="Times New Roman"/>
          <w:b w:val="false"/>
          <w:i w:val="false"/>
          <w:color w:val="000000"/>
          <w:sz w:val="22"/>
        </w:rPr>
        <w:t>Two to three hours on site = $273</w:t>
      </w:r>
    </w:p>
    <w:p>
      <w:pPr>
        <w:spacing w:before="0" w:after="0"/>
        <w:ind w:left="120"/>
        <w:jc w:val="both"/>
      </w:pPr>
      <w:r>
        <w:rPr>
          <w:rFonts w:ascii="Times New Roman" w:hAnsi="Times New Roman"/>
          <w:b w:val="false"/>
          <w:i w:val="false"/>
          <w:color w:val="000000"/>
          <w:sz w:val="22"/>
        </w:rPr>
        <w:t>Three to four hours on site = $307</w:t>
      </w:r>
    </w:p>
    <w:p>
      <w:pPr>
        <w:spacing w:before="0" w:after="0"/>
        <w:ind w:left="120"/>
        <w:jc w:val="both"/>
      </w:pPr>
      <w:r>
        <w:rPr>
          <w:rFonts w:ascii="Times New Roman" w:hAnsi="Times New Roman"/>
          <w:b w:val="false"/>
          <w:i w:val="false"/>
          <w:color w:val="000000"/>
          <w:sz w:val="22"/>
        </w:rPr>
        <w:t>Four to five hours on site = $341</w:t>
      </w:r>
    </w:p>
    <w:p>
      <w:pPr>
        <w:spacing w:before="0" w:after="0"/>
        <w:ind w:left="120"/>
        <w:jc w:val="both"/>
      </w:pPr>
      <w:r>
        <w:rPr>
          <w:rFonts w:ascii="Times New Roman" w:hAnsi="Times New Roman"/>
          <w:b w:val="false"/>
          <w:i w:val="false"/>
          <w:color w:val="000000"/>
          <w:sz w:val="22"/>
        </w:rPr>
        <w:t>Five to six hours on site = $374</w:t>
      </w:r>
    </w:p>
    <w:p>
      <w:pPr>
        <w:spacing w:before="0" w:after="0"/>
        <w:ind w:left="120"/>
        <w:jc w:val="both"/>
      </w:pPr>
      <w:r>
        <w:rPr>
          <w:rFonts w:ascii="Times New Roman" w:hAnsi="Times New Roman"/>
          <w:b w:val="false"/>
          <w:i w:val="false"/>
          <w:color w:val="000000"/>
          <w:sz w:val="22"/>
        </w:rPr>
        <w:t>Additional inspection fees will be billed to the responsible architect or building contractor on a monthly basis. The building may receive only temporary approval for occupancy if unpaid inspection fees remain at the time of final inspection.</w:t>
      </w:r>
    </w:p>
    <w:p>
      <w:pPr>
        <w:spacing w:before="0" w:after="0"/>
        <w:ind w:left="120"/>
        <w:jc w:val="both"/>
      </w:pPr>
      <w:r>
        <w:rPr>
          <w:rFonts w:ascii="Times New Roman" w:hAnsi="Times New Roman"/>
          <w:b w:val="false"/>
          <w:i w:val="false"/>
          <w:color w:val="000000"/>
          <w:sz w:val="22"/>
        </w:rPr>
        <w:t>Inspection fees and standard operating procedures for construction involving any building or facility owned by the board of regents or by any institution subject to the authority of the board of regents shall be established through a written agreement between the commissioner and the board of regents.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300.5(4)</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person who performs a building code inspection on behalf of the building code commissioner shall have and maintain one of the following: (1) current certification as a commercial building inspector by the International Code Council, or (2) other equivalent certification approved by the building code commissioner. An employee of the department who performs an inspection on behalf of the building code commissioner shall, in addition, meet any requirements for the job class in which the employee is classified as established by the department of administrative services, pursuant to Iowa Code chapter </w:t>
      </w:r>
      <w:hyperlink r:id="rId38">
        <w:r>
          <w:rPr>
            <w:rStyle w:val="Hyperlink"/>
            <w:rFonts w:ascii="Times New Roman" w:hAnsi="Times New Roman"/>
            <w:b w:val="false"/>
            <w:i w:val="false"/>
            <w:color w:val="000000"/>
            <w:sz w:val="22"/>
          </w:rPr>
          <w:t>8A, subchapter IV, part 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Exception: </w:t>
      </w:r>
    </w:p>
    <w:p>
      <w:pPr>
        <w:spacing w:before="0" w:after="0"/>
        <w:ind w:left="120"/>
        <w:jc w:val="both"/>
      </w:pPr>
      <w:r>
        <w:rPr>
          <w:rFonts w:ascii="Times New Roman" w:hAnsi="Times New Roman"/>
          <w:b w:val="false"/>
          <w:i w:val="false"/>
          <w:color w:val="000000"/>
          <w:sz w:val="22"/>
        </w:rPr>
        <w:t xml:space="preserve"> An employee of the department who performs inspections on behalf of the building code commissioner may perform such inspections for no more than six months prior to obtaining the required certification.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8305B</w:t>
      </w:r>
      <w:r>
        <w:rPr>
          <w:rFonts w:ascii="Times New Roman" w:hAnsi="Times New Roman"/>
          <w:b w:val="false"/>
          <w:i w:val="false"/>
          <w:color w:val="000000"/>
          <w:sz w:val="16"/>
        </w:rPr>
        <w:t>, IAB 11/18/09,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661—300.6</w:t>
      </w:r>
      <w:r>
        <w:rPr>
          <w:rFonts w:ascii="Times New Roman" w:hAnsi="Times New Roman"/>
          <w:b/>
          <w:i w:val="false"/>
          <w:color w:val="000000"/>
          <w:sz w:val="22"/>
        </w:rPr>
        <w:t xml:space="preserve">(103A) </w:t>
      </w:r>
      <w:r>
        <w:rPr>
          <w:rFonts w:ascii="Times New Roman" w:hAnsi="Times New Roman"/>
          <w:b/>
          <w:i w:val="false"/>
          <w:color w:val="000000"/>
          <w:sz w:val="22"/>
        </w:rPr>
        <w:t xml:space="preserve">Local code enforcement. </w:t>
      </w:r>
      <w:r>
        <w:rPr>
          <w:rFonts w:ascii="Times New Roman" w:hAnsi="Times New Roman"/>
          <w:b w:val="false"/>
          <w:i w:val="false"/>
          <w:color w:val="000000"/>
          <w:sz w:val="22"/>
        </w:rPr>
        <w:t>Provisions of the state building code applicable statewide or applicable in a local jurisdiction which has adopted the state building code by local ordinance may be enforced by the local jurisdiction.</w:t>
      </w:r>
    </w:p>
    <w:p>
      <w:pPr>
        <w:spacing w:before="0" w:after="0"/>
        <w:ind w:left="120"/>
        <w:jc w:val="both"/>
      </w:pPr>
      <w:r>
        <w:rPr>
          <w:rFonts w:ascii="Times New Roman" w:hAnsi="Times New Roman"/>
          <w:b w:val="false"/>
          <w:i w:val="false"/>
          <w:color w:val="000000"/>
          <w:sz w:val="22"/>
        </w:rPr>
        <w:t>Any local jurisdiction which adopts the state building code by local ordinance may further adopt provisions for the administration and enforcement of the building code by the local jurisdiction. These provisions may include administrative provisions contained in the codes adopted by reference as part of the state building code and may include other provisions at the discretion of the local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300.6(1)</w:t>
      </w:r>
      <w:r>
        <w:rPr>
          <w:rFonts w:ascii="Times New Roman" w:hAnsi="Times New Roman"/>
          <w:b w:val="false"/>
          <w:i w:val="false"/>
          <w:color w:val="000000"/>
          <w:sz w:val="22"/>
        </w:rPr>
        <w:t> </w:t>
      </w:r>
      <w:r>
        <w:rPr>
          <w:rFonts w:ascii="Times New Roman" w:hAnsi="Times New Roman"/>
          <w:b w:val="false"/>
          <w:i/>
          <w:color w:val="000000"/>
          <w:sz w:val="22"/>
        </w:rPr>
        <w:t xml:space="preserve">Creation of department. </w:t>
      </w:r>
      <w:r>
        <w:rPr>
          <w:rFonts w:ascii="Times New Roman" w:hAnsi="Times New Roman"/>
          <w:b w:val="false"/>
          <w:i w:val="false"/>
          <w:color w:val="000000"/>
          <w:sz w:val="22"/>
        </w:rPr>
        <w:t>There may be established within the governmental subdivision a “building department” which shall be under the jurisdiction of the building official designated by the appointing authority. Within the state building code, including publications adopted by reference within the state building code, the terms “administrative authority,” “authority having jurisdiction,” and “authorized representative” shall mean the building official.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300.6(2)</w:t>
      </w:r>
      <w:r>
        <w:rPr>
          <w:rFonts w:ascii="Times New Roman" w:hAnsi="Times New Roman"/>
          <w:b w:val="false"/>
          <w:i w:val="false"/>
          <w:color w:val="000000"/>
          <w:sz w:val="22"/>
        </w:rPr>
        <w:t> </w:t>
      </w:r>
      <w:r>
        <w:rPr>
          <w:rFonts w:ascii="Times New Roman" w:hAnsi="Times New Roman"/>
          <w:b w:val="false"/>
          <w:i/>
          <w:color w:val="000000"/>
          <w:sz w:val="22"/>
        </w:rPr>
        <w:t xml:space="preserve">Powers and duties of building official. </w:t>
      </w:r>
      <w:r>
        <w:rPr>
          <w:rFonts w:ascii="Times New Roman" w:hAnsi="Times New Roman"/>
          <w:b w:val="false"/>
          <w:i w:val="false"/>
          <w:color w:val="000000"/>
          <w:sz w:val="22"/>
        </w:rPr>
        <w:t xml:space="preserve">The building official in those governmental subdivisions establishing a building department shall enforce all the provisions of any applicable building code as prescribed by local law or ordinance and as outlined by Iowa Code section </w:t>
      </w:r>
      <w:hyperlink r:id="rId39">
        <w:r>
          <w:rPr>
            <w:rStyle w:val="Hyperlink"/>
            <w:rFonts w:ascii="Times New Roman" w:hAnsi="Times New Roman"/>
            <w:b w:val="false"/>
            <w:i w:val="false"/>
            <w:color w:val="000000"/>
            <w:sz w:val="22"/>
          </w:rPr>
          <w:t>103A.19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300.6(3)</w:t>
      </w:r>
      <w:r>
        <w:rPr>
          <w:rFonts w:ascii="Times New Roman" w:hAnsi="Times New Roman"/>
          <w:b w:val="false"/>
          <w:i w:val="false"/>
          <w:color w:val="000000"/>
          <w:sz w:val="22"/>
        </w:rPr>
        <w:t> </w:t>
      </w:r>
      <w:r>
        <w:rPr>
          <w:rFonts w:ascii="Times New Roman" w:hAnsi="Times New Roman"/>
          <w:b w:val="false"/>
          <w:i/>
          <w:color w:val="000000"/>
          <w:sz w:val="22"/>
        </w:rPr>
        <w:t xml:space="preserve">Permits only. </w:t>
      </w:r>
      <w:r>
        <w:rPr>
          <w:rFonts w:ascii="Times New Roman" w:hAnsi="Times New Roman"/>
          <w:b w:val="false"/>
          <w:i w:val="false"/>
          <w:color w:val="000000"/>
          <w:sz w:val="22"/>
        </w:rPr>
        <w:t>Any governmental subdivision that has not established a building department but requires a permit to construct or an occupancy permit or both shall be known as the “issuing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300.6(4)</w:t>
      </w:r>
      <w:r>
        <w:rPr>
          <w:rFonts w:ascii="Times New Roman" w:hAnsi="Times New Roman"/>
          <w:b w:val="false"/>
          <w:i w:val="false"/>
          <w:color w:val="000000"/>
          <w:sz w:val="22"/>
        </w:rPr>
        <w:t> </w:t>
      </w:r>
      <w:r>
        <w:rPr>
          <w:rFonts w:ascii="Times New Roman" w:hAnsi="Times New Roman"/>
          <w:b w:val="false"/>
          <w:i/>
          <w:color w:val="000000"/>
          <w:sz w:val="22"/>
        </w:rPr>
        <w:t xml:space="preserve">Statement of compliance with energy conservation requirements. </w:t>
      </w:r>
      <w:r>
        <w:rPr>
          <w:rFonts w:ascii="Times New Roman" w:hAnsi="Times New Roman"/>
          <w:b w:val="false"/>
          <w:i w:val="false"/>
          <w:color w:val="000000"/>
          <w:sz w:val="22"/>
        </w:rPr>
        <w:t>Any application for a building permit, except for applications to renovate or remodel residential buildings of one or two units, shall include a statement that the construction will comply with all applicable energy conservation requirements.</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40">
        <w:r>
          <w:rPr>
            <w:rStyle w:val="Hyperlink"/>
            <w:rFonts w:ascii="Times New Roman" w:hAnsi="Times New Roman"/>
            <w:b w:val="false"/>
            <w:i w:val="false"/>
            <w:color w:val="000000"/>
            <w:sz w:val="22"/>
          </w:rPr>
          <w:t>103A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12/2/05, Notice 9/14/05—published 12/21/05, effective 4/1/06]</w:t>
      </w:r>
    </w:p>
    <w:p>
      <w:pPr>
        <w:spacing w:before="0" w:after="0"/>
        <w:ind w:left="120"/>
        <w:jc w:val="center"/>
      </w:pPr>
      <w:r>
        <w:rPr>
          <w:rFonts w:ascii="Times New Roman" w:hAnsi="Times New Roman"/>
          <w:b w:val="false"/>
          <w:i w:val="false"/>
          <w:color w:val="000000"/>
          <w:sz w:val="21"/>
        </w:rPr>
        <w:t>[Filed 11/2/06, Notice 9/27/06—published 11/22/06, effective 1/1/07]</w:t>
      </w:r>
    </w:p>
    <w:p>
      <w:pPr>
        <w:spacing w:before="0" w:after="0"/>
        <w:ind w:left="120"/>
        <w:jc w:val="center"/>
      </w:pPr>
      <w:r>
        <w:rPr>
          <w:rFonts w:ascii="Times New Roman" w:hAnsi="Times New Roman"/>
          <w:b w:val="false"/>
          <w:i w:val="false"/>
          <w:color w:val="000000"/>
          <w:sz w:val="21"/>
        </w:rPr>
        <w:t>[Filed without Notice 11/2/06—published 11/22/06, effective 1/1/07]</w:t>
      </w:r>
    </w:p>
    <w:p>
      <w:pPr>
        <w:spacing w:before="0" w:after="0"/>
        <w:ind w:left="120"/>
        <w:jc w:val="center"/>
      </w:pPr>
      <w:r>
        <w:rPr>
          <w:rFonts w:ascii="Times New Roman" w:hAnsi="Times New Roman"/>
          <w:b w:val="false"/>
          <w:i w:val="false"/>
          <w:color w:val="000000"/>
          <w:sz w:val="21"/>
        </w:rPr>
        <w:t>[Filed 10/31/07, Notice 9/12/07—published 11/21/07, effective 1/1/08]</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6/11/08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6/15/08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8305B</w:t>
      </w:r>
      <w:r>
        <w:rPr>
          <w:rFonts w:ascii="Times New Roman" w:hAnsi="Times New Roman"/>
          <w:b w:val="false"/>
          <w:i w:val="false"/>
          <w:color w:val="000000"/>
          <w:sz w:val="21"/>
        </w:rPr>
        <w:t xml:space="preserve"> (Notice ARC 8179B, IAB 9/23/09)</w:t>
      </w:r>
      <w:r>
        <w:rPr>
          <w:rFonts w:ascii="Times New Roman" w:hAnsi="Times New Roman"/>
          <w:b w:val="false"/>
          <w:i w:val="false"/>
          <w:color w:val="000000"/>
          <w:sz w:val="21"/>
        </w:rPr>
        <w:t>, IAB 11/18/09, effective 1/1/10]</w:t>
      </w:r>
    </w:p>
    <w:p>
      <w:pPr>
        <w:spacing w:before="0" w:after="0"/>
        <w:ind w:left="120"/>
        <w:jc w:val="center"/>
      </w:pPr>
      <w:r>
        <w:rPr>
          <w:rFonts w:ascii="Times New Roman" w:hAnsi="Times New Roman"/>
          <w:b w:val="false"/>
          <w:i w:val="false"/>
          <w:color w:val="000000"/>
          <w:sz w:val="21"/>
        </w:rPr>
        <w:t>[Filed ARC 2492C</w:t>
      </w:r>
      <w:r>
        <w:rPr>
          <w:rFonts w:ascii="Times New Roman" w:hAnsi="Times New Roman"/>
          <w:b w:val="false"/>
          <w:i w:val="false"/>
          <w:color w:val="000000"/>
          <w:sz w:val="21"/>
        </w:rPr>
        <w:t xml:space="preserve"> (Notice ARC 2250C, IAB 11/25/15)</w:t>
      </w:r>
      <w:r>
        <w:rPr>
          <w:rFonts w:ascii="Times New Roman" w:hAnsi="Times New Roman"/>
          <w:b w:val="false"/>
          <w:i w:val="false"/>
          <w:color w:val="000000"/>
          <w:sz w:val="21"/>
        </w:rPr>
        <w:t>, IAB 4/13/16, effective 5/18/16]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3A.7.pdf" Type="http://schemas.openxmlformats.org/officeDocument/2006/relationships/hyperlink" Id="rId5"/>
    <Relationship TargetMode="External" Target="https://www.legis.iowa.gov/docs/ico/chapter/103A.7.pdf" Type="http://schemas.openxmlformats.org/officeDocument/2006/relationships/hyperlink" Id="rId6"/>
    <Relationship TargetMode="External" Target="https://www.legis.iowa.gov/docs/iac/chapter/661.16.pdf" Type="http://schemas.openxmlformats.org/officeDocument/2006/relationships/hyperlink" Id="rId7"/>
    <Relationship TargetMode="External" Target="https://www.legis.iowa.gov/docs/iac/chapter/661.300.pdf" Type="http://schemas.openxmlformats.org/officeDocument/2006/relationships/hyperlink" Id="rId8"/>
    <Relationship TargetMode="External" Target="https://www.legis.iowa.gov/docs/iac/chapter/661.301.pdf" Type="http://schemas.openxmlformats.org/officeDocument/2006/relationships/hyperlink" Id="rId9"/>
    <Relationship TargetMode="External" Target="https://www.legis.iowa.gov/docs/iac/chapter/661.302.pdf" Type="http://schemas.openxmlformats.org/officeDocument/2006/relationships/hyperlink" Id="rId10"/>
    <Relationship TargetMode="External" Target="https://www.legis.iowa.gov/docs/iac/chapter/661.303.pdf" Type="http://schemas.openxmlformats.org/officeDocument/2006/relationships/hyperlink" Id="rId11"/>
    <Relationship TargetMode="External" Target="https://www.legis.iowa.gov/docs/iac/chapter/661.310.pdf" Type="http://schemas.openxmlformats.org/officeDocument/2006/relationships/hyperlink" Id="rId12"/>
    <Relationship TargetMode="External" Target="https://www.legis.iowa.gov/docs/iac/chapter/661.315.pdf" Type="http://schemas.openxmlformats.org/officeDocument/2006/relationships/hyperlink" Id="rId13"/>
    <Relationship TargetMode="External" Target="https://www.legis.iowa.gov/docs/iac/chapter/661.322.pdf" Type="http://schemas.openxmlformats.org/officeDocument/2006/relationships/hyperlink" Id="rId14"/>
    <Relationship TargetMode="External" Target="https://www.legis.iowa.gov/docs/iac/chapter/661.350.pdf" Type="http://schemas.openxmlformats.org/officeDocument/2006/relationships/hyperlink" Id="rId15"/>
    <Relationship TargetMode="External" Target="https://www.legis.iowa.gov/docs/ico/chapter/103A.4.pdf" Type="http://schemas.openxmlformats.org/officeDocument/2006/relationships/hyperlink" Id="rId16"/>
    <Relationship TargetMode="External" Target="https://www.legis.iowa.gov/docs/ico/chapter/103A.13.pdf" Type="http://schemas.openxmlformats.org/officeDocument/2006/relationships/hyperlink" Id="rId17"/>
    <Relationship TargetMode="External" Target="https://www.legis.iowa.gov/docs/ico/chapter/103A.14.pdf" Type="http://schemas.openxmlformats.org/officeDocument/2006/relationships/hyperlink" Id="rId18"/>
    <Relationship TargetMode="External" Target="https://www.legis.iowa.gov/docs/ico/chapter/542B.pdf" Type="http://schemas.openxmlformats.org/officeDocument/2006/relationships/hyperlink" Id="rId19"/>
    <Relationship TargetMode="External" Target="https://www.legis.iowa.gov/docs/ico/chapter/544A.pdf" Type="http://schemas.openxmlformats.org/officeDocument/2006/relationships/hyperlink" Id="rId20"/>
    <Relationship TargetMode="External" Target="https://www.legis.iowa.gov/docs/ico/chapter/544A.18.pdf" Type="http://schemas.openxmlformats.org/officeDocument/2006/relationships/hyperlink" Id="rId21"/>
    <Relationship TargetMode="External" Target="https://www.legis.iowa.gov/docs/ico/chapter/542B.2.pdf" Type="http://schemas.openxmlformats.org/officeDocument/2006/relationships/hyperlink" Id="rId22"/>
    <Relationship TargetMode="External" Target="https://www.legis.iowa.gov/docs/iac/rule/661.300.4.pdf" Type="http://schemas.openxmlformats.org/officeDocument/2006/relationships/hyperlink" Id="rId23"/>
    <Relationship TargetMode="External" Target="https://www.legis.iowa.gov/docs/iac/rule/661.300.4.pdf" Type="http://schemas.openxmlformats.org/officeDocument/2006/relationships/hyperlink" Id="rId24"/>
    <Relationship TargetMode="External" Target="https://www.legis.iowa.gov/docs/ico/chapter/103A.12.pdf" Type="http://schemas.openxmlformats.org/officeDocument/2006/relationships/hyperlink" Id="rId25"/>
    <Relationship TargetMode="External" Target="https://www.legis.iowa.gov/docs/iac/rule/661.300.4.pdf" Type="http://schemas.openxmlformats.org/officeDocument/2006/relationships/hyperlink" Id="rId26"/>
    <Relationship TargetMode="External" Target="https://www.legis.iowa.gov/docs/ico/chapter/470.2.pdf" Type="http://schemas.openxmlformats.org/officeDocument/2006/relationships/hyperlink" Id="rId27"/>
    <Relationship TargetMode="External" Target="https://www.legis.iowa.gov/docs/ico/chapter/470.7.pdf" Type="http://schemas.openxmlformats.org/officeDocument/2006/relationships/hyperlink" Id="rId28"/>
    <Relationship TargetMode="External" Target="https://www.legis.iowa.gov/docs/ico/chapter/470.7.pdf" Type="http://schemas.openxmlformats.org/officeDocument/2006/relationships/hyperlink" Id="rId29"/>
    <Relationship TargetMode="External" Target="https://www.legis.iowa.gov/docs/iac/rule/661.303.1.pdf" Type="http://schemas.openxmlformats.org/officeDocument/2006/relationships/hyperlink" Id="rId30"/>
    <Relationship TargetMode="External" Target="https://www.legis.iowa.gov/docs/iac/chapter/661.16.pdf" Type="http://schemas.openxmlformats.org/officeDocument/2006/relationships/hyperlink" Id="rId31"/>
    <Relationship TargetMode="External" Target="https://www.legis.iowa.gov/docs/iac/chapter/661.322.pdf" Type="http://schemas.openxmlformats.org/officeDocument/2006/relationships/hyperlink" Id="rId32"/>
    <Relationship TargetMode="External" Target="https://www.legis.iowa.gov/docs/ico/chapter/231C.18.pdf" Type="http://schemas.openxmlformats.org/officeDocument/2006/relationships/hyperlink" Id="rId33"/>
    <Relationship TargetMode="External" Target="https://www.legis.iowa.gov/docs/ico/chapter/231B.17.pdf" Type="http://schemas.openxmlformats.org/officeDocument/2006/relationships/hyperlink" Id="rId34"/>
    <Relationship TargetMode="External" Target="https://www.legis.iowa.gov/docs/ico/chapter/231D.4.pdf" Type="http://schemas.openxmlformats.org/officeDocument/2006/relationships/hyperlink" Id="rId35"/>
    <Relationship TargetMode="External" Target="https://www.legis.iowa.gov/docs/ico/chapter/4.1.pdf" Type="http://schemas.openxmlformats.org/officeDocument/2006/relationships/hyperlink" Id="rId36"/>
    <Relationship TargetMode="External" Target="https://www.legis.iowa.gov/docs/iac/rule/661.300.4.pdf" Type="http://schemas.openxmlformats.org/officeDocument/2006/relationships/hyperlink" Id="rId37"/>
    <Relationship TargetMode="External" Target="https://www.legis.iowa.gov/docs/ico/chapter/8A.pdf" Type="http://schemas.openxmlformats.org/officeDocument/2006/relationships/hyperlink" Id="rId38"/>
    <Relationship TargetMode="External" Target="https://www.legis.iowa.gov/docs/ico/chapter/103A.19.pdf" Type="http://schemas.openxmlformats.org/officeDocument/2006/relationships/hyperlink" Id="rId39"/>
    <Relationship TargetMode="External" Target="https://www.legis.iowa.gov/docs/ico/chapter/103A.pdf" Type="http://schemas.openxmlformats.org/officeDocument/2006/relationships/hyperlink" Id="rId4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