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265</w:t>
      </w:r>
    </w:p>
    <w:p>
      <w:pPr>
        <w:spacing w:before="0" w:after="0"/>
        <w:ind w:left="120"/>
        <w:jc w:val="center"/>
      </w:pPr>
      <w:r>
        <w:rPr>
          <w:rFonts w:ascii="Times New Roman" w:hAnsi="Times New Roman"/>
          <w:b w:val="false"/>
          <w:i w:val="false"/>
          <w:color w:val="000000"/>
          <w:sz w:val="21"/>
        </w:rPr>
        <w:t>CONSUMER FIREWORKS RETAIL SELLER LICENSING AND WHOLESALER REGISTRATION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661—265.1</w:t>
      </w:r>
      <w:r>
        <w:rPr>
          <w:rFonts w:ascii="Times New Roman" w:hAnsi="Times New Roman"/>
          <w:b/>
          <w:i w:val="false"/>
          <w:color w:val="000000"/>
          <w:sz w:val="22"/>
        </w:rPr>
        <w:t xml:space="preserve">(10A)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“APA 87-1”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10A.519(1)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“Commercial fireworks” </w:t>
      </w:r>
      <w:r>
        <w:rPr>
          <w:rFonts w:ascii="Times New Roman" w:hAnsi="Times New Roman"/>
          <w:b w:val="false"/>
          <w:i w:val="false"/>
          <w:color w:val="000000"/>
          <w:sz w:val="22"/>
        </w:rPr>
        <w:t>means large firework devices that are explosive materials intended for use in firework displays and designed to produce visible or audible effects by combustion, deflagration, or detonation, as set forth in 27 CFR 555 and 49 CFR 172 in effect on January 1, 2001, and APA Standard 87-1, Standard for the Construction and Approval for Transportation of Fireworks, Novelties, and Theatrical Pyrotechnics.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group”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10A.519(1)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“Consumer fireworks”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10A.520(1)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“Display fireworks”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727.2(1)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“First-class consumer fireworks”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10A.519(1)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“NFPA 1124” </w:t>
      </w:r>
      <w:r>
        <w:rPr>
          <w:rFonts w:ascii="Times New Roman" w:hAnsi="Times New Roman"/>
          <w:b w:val="false"/>
          <w:i w:val="false"/>
          <w:color w:val="000000"/>
          <w:sz w:val="22"/>
        </w:rPr>
        <w:t>means the National Fire Protection Association (NFPA) Standard 1124, published in the Code for the Manufacture, Transportation, Storage, and Retail Sales of Fireworks and Pyrotechnic Articles, 2006 edition.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“Retailer”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10A.519(1)</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“Second-class consumer fireworks”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10A.519(1)</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“Serious violation” </w:t>
      </w:r>
      <w:r>
        <w:rPr>
          <w:rFonts w:ascii="Times New Roman" w:hAnsi="Times New Roman"/>
          <w:b w:val="false"/>
          <w:i w:val="false"/>
          <w:color w:val="000000"/>
          <w:sz w:val="22"/>
        </w:rPr>
        <w:t>means any of the following activities occurring at a licensed retail location selling consumer fireworks: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Commission of a criminal offense, punishable by one year or more incarceration.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Selling consumer fireworks to a minor.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Selling commercial fireworks.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“Wholesaler” </w:t>
      </w:r>
      <w:r>
        <w:rPr>
          <w:rFonts w:ascii="Times New Roman" w:hAnsi="Times New Roman"/>
          <w:b w:val="false"/>
          <w:i w:val="false"/>
          <w:color w:val="000000"/>
          <w:sz w:val="22"/>
        </w:rPr>
        <w:t xml:space="preserve">means the same as defined in Iowa Code section </w:t>
      </w:r>
      <w:hyperlink r:id="rId12">
        <w:r>
          <w:rPr>
            <w:rStyle w:val="Hyperlink"/>
            <w:rFonts w:ascii="Times New Roman" w:hAnsi="Times New Roman"/>
            <w:b w:val="false"/>
            <w:i w:val="false"/>
            <w:color w:val="000000"/>
            <w:sz w:val="22"/>
          </w:rPr>
          <w:t>10A.520(1)</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661—265.2</w:t>
      </w:r>
      <w:r>
        <w:rPr>
          <w:rFonts w:ascii="Times New Roman" w:hAnsi="Times New Roman"/>
          <w:b/>
          <w:i w:val="false"/>
          <w:color w:val="000000"/>
          <w:sz w:val="22"/>
        </w:rPr>
        <w:t xml:space="preserve">(10A) </w:t>
      </w:r>
      <w:r>
        <w:rPr>
          <w:rFonts w:ascii="Times New Roman" w:hAnsi="Times New Roman"/>
          <w:b/>
          <w:i w:val="false"/>
          <w:color w:val="000000"/>
          <w:sz w:val="22"/>
        </w:rPr>
        <w:t xml:space="preserve">Sale of consumer fireworks—safety standards. </w:t>
      </w:r>
      <w:r>
        <w:rPr>
          <w:rFonts w:ascii="Times New Roman" w:hAnsi="Times New Roman"/>
          <w:b w:val="false"/>
          <w:i w:val="false"/>
          <w:color w:val="000000"/>
          <w:sz w:val="22"/>
        </w:rPr>
        <w:t>Any retailer or community group offering for sale at retail any first-class or second-class consumer fireworks, as described in American Pyrotechnics Association (APA) Standard 87-1, as published in December 2001, shall do so in accordance with the National Fire Protection Association (NFPA) Standard 1124, published in the Code for the Manufacture, Transportation, Storage, and Retail Sales of Fireworks and Pyrotechnic Articles, 2006 edition (hereinafter referred to as “APA 87-1” and “NFPA 1124,” respectively).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661—265.3</w:t>
      </w:r>
      <w:r>
        <w:rPr>
          <w:rFonts w:ascii="Times New Roman" w:hAnsi="Times New Roman"/>
          <w:b/>
          <w:i w:val="false"/>
          <w:color w:val="000000"/>
          <w:sz w:val="22"/>
        </w:rPr>
        <w:t xml:space="preserve">(10A) </w:t>
      </w:r>
      <w:r>
        <w:rPr>
          <w:rFonts w:ascii="Times New Roman" w:hAnsi="Times New Roman"/>
          <w:b/>
          <w:i w:val="false"/>
          <w:color w:val="000000"/>
          <w:sz w:val="22"/>
        </w:rPr>
        <w:t xml:space="preserve">Sales allowed. </w:t>
      </w:r>
      <w:r>
        <w:rPr>
          <w:rFonts w:ascii="Times New Roman" w:hAnsi="Times New Roman"/>
          <w:b w:val="false"/>
          <w:i w:val="false"/>
          <w:color w:val="000000"/>
          <w:sz w:val="22"/>
        </w:rPr>
        <w:t>A retailer or community group that is issued a license pursuant to this chapter is authorized to sell consumer fireworks as defined in this chapter. However, sales are permitted only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265.3(1)</w:t>
      </w:r>
      <w:r>
        <w:rPr>
          <w:rFonts w:ascii="Times New Roman" w:hAnsi="Times New Roman"/>
          <w:b w:val="false"/>
          <w:i w:val="false"/>
          <w:color w:val="000000"/>
          <w:sz w:val="22"/>
        </w:rPr>
        <w:t> </w:t>
      </w:r>
      <w:r>
        <w:rPr>
          <w:rFonts w:ascii="Times New Roman" w:hAnsi="Times New Roman"/>
          <w:b w:val="false"/>
          <w:i/>
          <w:color w:val="000000"/>
          <w:sz w:val="22"/>
        </w:rPr>
        <w:t xml:space="preserve">Prohibited sale or transfer to persons under 18 years of 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retailer or community group shall not transfer consumer fireworks, as described in APA 87-1, chapter 3, to a person who is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person, firm, partnership or corporation shall not sell consumer fireworks to a person who is less than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265.3(2)</w:t>
      </w:r>
      <w:r>
        <w:rPr>
          <w:rFonts w:ascii="Times New Roman" w:hAnsi="Times New Roman"/>
          <w:b w:val="false"/>
          <w:i w:val="false"/>
          <w:color w:val="000000"/>
          <w:sz w:val="22"/>
        </w:rPr>
        <w:t> </w:t>
      </w:r>
      <w:r>
        <w:rPr>
          <w:rFonts w:ascii="Times New Roman" w:hAnsi="Times New Roman"/>
          <w:b w:val="false"/>
          <w:i/>
          <w:color w:val="000000"/>
          <w:sz w:val="22"/>
        </w:rPr>
        <w:t xml:space="preserve">Exceptions for persons under 18 years of 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retailer selling or offering for sale consumer fireworks as described in APA 87-1, chapter 3, shall supervise any employees who are less than 18 years of age who are involved in the sale, handling, or transport of consumer fireworks in the course of their employment for the retailer.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community group selling or offering for sale consumer fireworks as described in APA 87-1, chapter 3, shall ensure that any persons who are less than 18 years of age who are involved in the sale, handling, or transport of consumer fireworks by the community group, whether the persons less than 18 years of age are paid or unpaid, shall do so under the direct supervision of an adult member of the community group.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265.3(3)</w:t>
      </w:r>
      <w:r>
        <w:rPr>
          <w:rFonts w:ascii="Times New Roman" w:hAnsi="Times New Roman"/>
          <w:b w:val="false"/>
          <w:i w:val="false"/>
          <w:color w:val="000000"/>
          <w:sz w:val="22"/>
        </w:rPr>
        <w:t> </w:t>
      </w:r>
      <w:r>
        <w:rPr>
          <w:rFonts w:ascii="Times New Roman" w:hAnsi="Times New Roman"/>
          <w:b w:val="false"/>
          <w:i/>
          <w:color w:val="000000"/>
          <w:sz w:val="22"/>
        </w:rPr>
        <w:t xml:space="preserve">Dates of sale. </w:t>
      </w:r>
      <w:r>
        <w:rPr>
          <w:rFonts w:ascii="Times New Roman" w:hAnsi="Times New Roman"/>
          <w:b w:val="false"/>
          <w:i w:val="false"/>
          <w:color w:val="000000"/>
          <w:sz w:val="22"/>
        </w:rPr>
        <w:t xml:space="preserve">A retailer or community group may sell consumer fireworks in accordance with Iowa Code section </w:t>
      </w:r>
      <w:hyperlink r:id="rId13">
        <w:r>
          <w:rPr>
            <w:rStyle w:val="Hyperlink"/>
            <w:rFonts w:ascii="Times New Roman" w:hAnsi="Times New Roman"/>
            <w:b w:val="false"/>
            <w:i w:val="false"/>
            <w:color w:val="000000"/>
            <w:sz w:val="22"/>
          </w:rPr>
          <w:t>10A.519(4)</w:t>
        </w:r>
      </w:hyperlink>
      <w:r>
        <w:rPr>
          <w:rFonts w:ascii="Times New Roman" w:hAnsi="Times New Roman"/>
          <w:b w:val="false"/>
          <w:i/>
          <w:color w:val="000000"/>
          <w:sz w:val="22"/>
        </w:rPr>
        <w:t>“c.”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661—265.4</w:t>
      </w:r>
      <w:r>
        <w:rPr>
          <w:rFonts w:ascii="Times New Roman" w:hAnsi="Times New Roman"/>
          <w:b/>
          <w:i w:val="false"/>
          <w:color w:val="000000"/>
          <w:sz w:val="22"/>
        </w:rPr>
        <w:t xml:space="preserve">(10A) </w:t>
      </w:r>
      <w:r>
        <w:rPr>
          <w:rFonts w:ascii="Times New Roman" w:hAnsi="Times New Roman"/>
          <w:b/>
          <w:i w:val="false"/>
          <w:color w:val="000000"/>
          <w:sz w:val="22"/>
        </w:rPr>
        <w:t xml:space="preserve">License fees—consumer fireworks seller licenses.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265.4(1)</w:t>
      </w:r>
      <w:r>
        <w:rPr>
          <w:rFonts w:ascii="Times New Roman" w:hAnsi="Times New Roman"/>
          <w:b w:val="false"/>
          <w:i w:val="false"/>
          <w:color w:val="000000"/>
          <w:sz w:val="22"/>
        </w:rPr>
        <w:t> </w:t>
      </w:r>
      <w:r>
        <w:rPr>
          <w:rFonts w:ascii="Times New Roman" w:hAnsi="Times New Roman"/>
          <w:b w:val="false"/>
          <w:i/>
          <w:color w:val="000000"/>
          <w:sz w:val="22"/>
        </w:rPr>
        <w:t xml:space="preserve">Fee schedule. </w:t>
      </w:r>
      <w:r>
        <w:rPr>
          <w:rFonts w:ascii="Times New Roman" w:hAnsi="Times New Roman"/>
          <w:b w:val="false"/>
          <w:i w:val="false"/>
          <w:color w:val="000000"/>
          <w:sz w:val="22"/>
        </w:rPr>
        <w:t xml:space="preserve">The fee schedule for consumer fireworks seller licenses is as provided in Iowa Code section </w:t>
      </w:r>
      <w:hyperlink r:id="rId14">
        <w:r>
          <w:rPr>
            <w:rStyle w:val="Hyperlink"/>
            <w:rFonts w:ascii="Times New Roman" w:hAnsi="Times New Roman"/>
            <w:b w:val="false"/>
            <w:i w:val="false"/>
            <w:color w:val="000000"/>
            <w:sz w:val="22"/>
          </w:rPr>
          <w:t>10A.519(3)</w:t>
        </w:r>
      </w:hyperlink>
      <w:r>
        <w:rPr>
          <w:rFonts w:ascii="Times New Roman" w:hAnsi="Times New Roman"/>
          <w:b w:val="false"/>
          <w:i w:val="false"/>
          <w:color w:val="000000"/>
          <w:sz w:val="22"/>
        </w:rPr>
        <w:t>. License fees shall be paid before issuance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265.4(2)</w:t>
      </w:r>
      <w:r>
        <w:rPr>
          <w:rFonts w:ascii="Times New Roman" w:hAnsi="Times New Roman"/>
          <w:b w:val="false"/>
          <w:i w:val="false"/>
          <w:color w:val="000000"/>
          <w:sz w:val="22"/>
        </w:rPr>
        <w:t> </w:t>
      </w:r>
      <w:r>
        <w:rPr>
          <w:rFonts w:ascii="Times New Roman" w:hAnsi="Times New Roman"/>
          <w:b w:val="false"/>
          <w:i/>
          <w:color w:val="000000"/>
          <w:sz w:val="22"/>
        </w:rPr>
        <w:t xml:space="preserve">Administrative license fee. </w:t>
      </w:r>
      <w:r>
        <w:rPr>
          <w:rFonts w:ascii="Times New Roman" w:hAnsi="Times New Roman"/>
          <w:b w:val="false"/>
          <w:i w:val="false"/>
          <w:color w:val="000000"/>
          <w:sz w:val="22"/>
        </w:rPr>
        <w:t>A nonrefundable administrative fee of $100 is required with every application for a consumer fireworks retail sales license. The $100 fee will be applied to the license fee if the license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265.4(3)</w:t>
      </w:r>
      <w:r>
        <w:rPr>
          <w:rFonts w:ascii="Times New Roman" w:hAnsi="Times New Roman"/>
          <w:b w:val="false"/>
          <w:i w:val="false"/>
          <w:color w:val="000000"/>
          <w:sz w:val="22"/>
        </w:rPr>
        <w:t> </w:t>
      </w:r>
      <w:r>
        <w:rPr>
          <w:rFonts w:ascii="Times New Roman" w:hAnsi="Times New Roman"/>
          <w:b w:val="false"/>
          <w:i/>
          <w:color w:val="000000"/>
          <w:sz w:val="22"/>
        </w:rPr>
        <w:t xml:space="preserve">Changing license class or amount. </w:t>
      </w:r>
      <w:r>
        <w:rPr>
          <w:rFonts w:ascii="Times New Roman" w:hAnsi="Times New Roman"/>
          <w:b w:val="false"/>
          <w:i w:val="false"/>
          <w:color w:val="000000"/>
          <w:sz w:val="22"/>
        </w:rPr>
        <w:t>If a retailer or consumer group is issued a license for the retail sale of one class or amount of consumer fireworks, and changes to a class or amount that requires a higher license fee, the retailer or consumer group shall pay only the difference in the two fees. The license for the lower class will be invalid after the issuance of the new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265.4(4)</w:t>
      </w:r>
      <w:r>
        <w:rPr>
          <w:rFonts w:ascii="Times New Roman" w:hAnsi="Times New Roman"/>
          <w:b w:val="false"/>
          <w:i w:val="false"/>
          <w:color w:val="000000"/>
          <w:sz w:val="22"/>
        </w:rPr>
        <w:t> </w:t>
      </w:r>
      <w:r>
        <w:rPr>
          <w:rFonts w:ascii="Times New Roman" w:hAnsi="Times New Roman"/>
          <w:b w:val="false"/>
          <w:i/>
          <w:color w:val="000000"/>
          <w:sz w:val="22"/>
        </w:rPr>
        <w:t xml:space="preserve">No refund after issuance. </w:t>
      </w:r>
      <w:r>
        <w:rPr>
          <w:rFonts w:ascii="Times New Roman" w:hAnsi="Times New Roman"/>
          <w:b w:val="false"/>
          <w:i w:val="false"/>
          <w:color w:val="000000"/>
          <w:sz w:val="22"/>
        </w:rPr>
        <w:t>Payment is final when the license is issued, and the fee will not be refunded.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661—265.5</w:t>
      </w:r>
      <w:r>
        <w:rPr>
          <w:rFonts w:ascii="Times New Roman" w:hAnsi="Times New Roman"/>
          <w:b/>
          <w:i w:val="false"/>
          <w:color w:val="000000"/>
          <w:sz w:val="22"/>
        </w:rPr>
        <w:t xml:space="preserve">(10A) </w:t>
      </w:r>
      <w:r>
        <w:rPr>
          <w:rFonts w:ascii="Times New Roman" w:hAnsi="Times New Roman"/>
          <w:b/>
          <w:i w:val="false"/>
          <w:color w:val="000000"/>
          <w:sz w:val="22"/>
        </w:rPr>
        <w:t xml:space="preserve">Application and issuance of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265.5(1)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 and instructions. </w:t>
      </w:r>
      <w:r>
        <w:rPr>
          <w:rFonts w:ascii="Times New Roman" w:hAnsi="Times New Roman"/>
          <w:b w:val="false"/>
          <w:i w:val="false"/>
          <w:color w:val="000000"/>
          <w:sz w:val="22"/>
        </w:rPr>
        <w:t>The application for a license for retail sales of consumer fireworks shall be made to the department as described on the department’s website. A license is required for each location where the retail sales of consumer fireworks are conducted.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265.5(2)</w:t>
      </w:r>
      <w:r>
        <w:rPr>
          <w:rFonts w:ascii="Times New Roman" w:hAnsi="Times New Roman"/>
          <w:b w:val="false"/>
          <w:i w:val="false"/>
          <w:color w:val="000000"/>
          <w:sz w:val="22"/>
        </w:rPr>
        <w:t> </w:t>
      </w:r>
      <w:r>
        <w:rPr>
          <w:rFonts w:ascii="Times New Roman" w:hAnsi="Times New Roman"/>
          <w:b w:val="false"/>
          <w:i/>
          <w:color w:val="000000"/>
          <w:sz w:val="22"/>
        </w:rPr>
        <w:t xml:space="preserve">Application requirements. </w:t>
      </w:r>
      <w:r>
        <w:rPr>
          <w:rFonts w:ascii="Times New Roman" w:hAnsi="Times New Roman"/>
          <w:b w:val="false"/>
          <w:i w:val="false"/>
          <w:color w:val="000000"/>
          <w:sz w:val="22"/>
        </w:rPr>
        <w:t>Applications and the accompanying plans must include all required information and must be prepared in accordance with the application instructions. An application will not be processed until all required information is received in the form required by the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265.5(3)</w:t>
      </w:r>
      <w:r>
        <w:rPr>
          <w:rFonts w:ascii="Times New Roman" w:hAnsi="Times New Roman"/>
          <w:b w:val="false"/>
          <w:i w:val="false"/>
          <w:color w:val="000000"/>
          <w:sz w:val="22"/>
        </w:rPr>
        <w:t> </w:t>
      </w:r>
      <w:r>
        <w:rPr>
          <w:rFonts w:ascii="Times New Roman" w:hAnsi="Times New Roman"/>
          <w:b w:val="false"/>
          <w:i/>
          <w:color w:val="000000"/>
          <w:sz w:val="22"/>
        </w:rPr>
        <w:t xml:space="preserve">Proof of insurance. </w:t>
      </w:r>
      <w:r>
        <w:rPr>
          <w:rFonts w:ascii="Times New Roman" w:hAnsi="Times New Roman"/>
          <w:b w:val="false"/>
          <w:i w:val="false"/>
          <w:color w:val="000000"/>
          <w:sz w:val="22"/>
        </w:rPr>
        <w:t>Applicants must provide proof of and maintain commercial general liability insurance with minimum per occurrence coverage of at least one million dollars and aggregate coverage of at least two million dollars.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265.5(4)</w:t>
      </w:r>
      <w:r>
        <w:rPr>
          <w:rFonts w:ascii="Times New Roman" w:hAnsi="Times New Roman"/>
          <w:b w:val="false"/>
          <w:i w:val="false"/>
          <w:color w:val="000000"/>
          <w:sz w:val="22"/>
        </w:rPr>
        <w:t> </w:t>
      </w:r>
      <w:r>
        <w:rPr>
          <w:rFonts w:ascii="Times New Roman" w:hAnsi="Times New Roman"/>
          <w:b w:val="false"/>
          <w:i/>
          <w:color w:val="000000"/>
          <w:sz w:val="22"/>
        </w:rPr>
        <w:t xml:space="preserve">Issuance and display of license. </w:t>
      </w:r>
      <w:r>
        <w:rPr>
          <w:rFonts w:ascii="Times New Roman" w:hAnsi="Times New Roman"/>
          <w:b w:val="false"/>
          <w:i w:val="false"/>
          <w:color w:val="000000"/>
          <w:sz w:val="22"/>
        </w:rPr>
        <w:t>If all of the requirements are met and the correct license fee is paid, the department will issue the license. The license must be clearly displayed at the location where the retail sales of consumer fireworks for which the license was issued are conducted.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661—265.6</w:t>
      </w:r>
      <w:r>
        <w:rPr>
          <w:rFonts w:ascii="Times New Roman" w:hAnsi="Times New Roman"/>
          <w:b/>
          <w:i w:val="false"/>
          <w:color w:val="000000"/>
          <w:sz w:val="22"/>
        </w:rPr>
        <w:t xml:space="preserve">(10A) </w:t>
      </w:r>
      <w:r>
        <w:rPr>
          <w:rFonts w:ascii="Times New Roman" w:hAnsi="Times New Roman"/>
          <w:b/>
          <w:i w:val="false"/>
          <w:color w:val="000000"/>
          <w:sz w:val="22"/>
        </w:rPr>
        <w:t xml:space="preserve">Fireworks site plan review, approval, and inspection.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265.6(1)</w:t>
      </w:r>
      <w:r>
        <w:rPr>
          <w:rFonts w:ascii="Times New Roman" w:hAnsi="Times New Roman"/>
          <w:b w:val="false"/>
          <w:i w:val="false"/>
          <w:color w:val="000000"/>
          <w:sz w:val="22"/>
        </w:rPr>
        <w:t> </w:t>
      </w:r>
      <w:r>
        <w:rPr>
          <w:rFonts w:ascii="Times New Roman" w:hAnsi="Times New Roman"/>
          <w:b w:val="false"/>
          <w:i/>
          <w:color w:val="000000"/>
          <w:sz w:val="22"/>
        </w:rPr>
        <w:t xml:space="preserve">Plan approval. </w:t>
      </w:r>
      <w:r>
        <w:rPr>
          <w:rFonts w:ascii="Times New Roman" w:hAnsi="Times New Roman"/>
          <w:b w:val="false"/>
          <w:i w:val="false"/>
          <w:color w:val="000000"/>
          <w:sz w:val="22"/>
        </w:rPr>
        <w:t>The retailer or community group shall submit to the department the proposed plan(s), including any required site plan(s) for the location(s) and for any building(s) or structure(s), whether permanent or temporary, that will be used for the sale and storage of fireworks. Requirements and exceptions for site plan submittal and approval are outlined on the department’s website.</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Regarding the incorporation of the reference to NFPA 102, 1995 edition, Standard for Grandstands, Folding and Telescopic Seating, Tents, and Membrane Structures into NFPA 1124 concerning tents and membrane structures, Sections 7.3.5 and 7.4.8.1.2 of NFPA 1124 should be read together with Section A.7.4.8.1.2 in the Explanatory Material in Annex A to NFPA 1124 and used for the purposes of (1) determining the requirements for the means of egress in tents and membrane structures except as modified by Section 7.3.14 of NFPA 1124 for special requirements for the retail sales of consumer fireworks, and (2) to prohibit the use, discharge, or ignition of fireworks within the tent or membrane structure. The other provisions of NFPA 1124, including the sections relating to the retail sales of consumer fireworks in tents or membrane structures, remain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265.6(2)</w:t>
      </w:r>
      <w:r>
        <w:rPr>
          <w:rFonts w:ascii="Times New Roman" w:hAnsi="Times New Roman"/>
          <w:b w:val="false"/>
          <w:i w:val="false"/>
          <w:color w:val="000000"/>
          <w:sz w:val="22"/>
        </w:rPr>
        <w:t> </w:t>
      </w:r>
      <w:r>
        <w:rPr>
          <w:rFonts w:ascii="Times New Roman" w:hAnsi="Times New Roman"/>
          <w:b w:val="false"/>
          <w:i/>
          <w:color w:val="000000"/>
          <w:sz w:val="22"/>
        </w:rPr>
        <w:t xml:space="preserve">Plans not required. </w:t>
      </w:r>
      <w:r>
        <w:rPr>
          <w:rFonts w:ascii="Times New Roman" w:hAnsi="Times New Roman"/>
          <w:b w:val="false"/>
          <w:i w:val="false"/>
          <w:color w:val="000000"/>
          <w:sz w:val="22"/>
        </w:rPr>
        <w:t>In the discretion of the department, plans may not be required in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permanent buildings or temporary structures in which only exempt amounts of first-class or second-class consumer fireworks are offered for sale, pursuant to section 7.3.1, NFPA 1124. The licensee shall make current product inventory information available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permanent buildings that were licensed in the previous year and for which there have been no changes to the site, building or floor plan. If any changes have been made, a new or updated plan shall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permanent buildings that are currently classified as a retail occupancy and in which second-class consumer fireworks are the only fireworks that are offered for sale.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265.6(3)</w:t>
      </w:r>
      <w:r>
        <w:rPr>
          <w:rFonts w:ascii="Times New Roman" w:hAnsi="Times New Roman"/>
          <w:b w:val="false"/>
          <w:i w:val="false"/>
          <w:color w:val="000000"/>
          <w:sz w:val="22"/>
        </w:rPr>
        <w:t> </w:t>
      </w:r>
      <w:r>
        <w:rPr>
          <w:rFonts w:ascii="Times New Roman" w:hAnsi="Times New Roman"/>
          <w:b w:val="false"/>
          <w:i/>
          <w:color w:val="000000"/>
          <w:sz w:val="22"/>
        </w:rPr>
        <w:t xml:space="preserve">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Every location and any building or structure where the retail sales of consumer fireworks are conducted or where consumer fireworks are stored is subject to an inspection at any time while engaged in the retail sale of consumer fireworks.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to the sale of consumer fireworks, each retail location shall satisfy one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site inspection of the retail location by the department or the department’s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Attestation at the time of the application by the person submitting the application that the retail location will comply with NFPA 1124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retail location license is revoked, the location shall be inspected in accordance with subparagraph </w:t>
      </w:r>
      <w:hyperlink r:id="rId15">
        <w:r>
          <w:rPr>
            <w:rStyle w:val="Hyperlink"/>
            <w:rFonts w:ascii="Times New Roman" w:hAnsi="Times New Roman"/>
            <w:b w:val="false"/>
            <w:i w:val="false"/>
            <w:color w:val="000000"/>
            <w:sz w:val="22"/>
          </w:rPr>
          <w:t>265.6(3)</w:t>
        </w:r>
      </w:hyperlink>
      <w:r>
        <w:rPr>
          <w:rFonts w:ascii="Times New Roman" w:hAnsi="Times New Roman"/>
          <w:b w:val="false"/>
          <w:i/>
          <w:color w:val="000000"/>
          <w:sz w:val="22"/>
        </w:rPr>
        <w:t>“b”</w:t>
      </w:r>
      <w:r>
        <w:rPr>
          <w:rFonts w:ascii="Times New Roman" w:hAnsi="Times New Roman"/>
          <w:b w:val="false"/>
          <w:i w:val="false"/>
          <w:color w:val="000000"/>
          <w:sz w:val="22"/>
        </w:rPr>
        <w:t>(1) prior to engaging in the sale of consumer fireworks the following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661—265.7</w:t>
      </w:r>
      <w:r>
        <w:rPr>
          <w:rFonts w:ascii="Times New Roman" w:hAnsi="Times New Roman"/>
          <w:b/>
          <w:i w:val="false"/>
          <w:color w:val="000000"/>
          <w:sz w:val="22"/>
        </w:rPr>
        <w:t xml:space="preserve">(10A) </w:t>
      </w:r>
      <w:r>
        <w:rPr>
          <w:rFonts w:ascii="Times New Roman" w:hAnsi="Times New Roman"/>
          <w:b/>
          <w:i w:val="false"/>
          <w:color w:val="000000"/>
          <w:sz w:val="22"/>
        </w:rPr>
        <w:t xml:space="preserve">Unauthorized use of license. </w:t>
      </w:r>
      <w:r>
        <w:rPr>
          <w:rFonts w:ascii="Times New Roman" w:hAnsi="Times New Roman"/>
          <w:b w:val="false"/>
          <w:i w:val="false"/>
          <w:color w:val="000000"/>
          <w:sz w:val="22"/>
        </w:rPr>
        <w:t>Only the retailer or the community group that is issued the license may use that license for the retail sales of consumer fireworks. Each license will be issued for a specific location. The license may not be transferred to or used at any other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265.7(1)</w:t>
      </w:r>
      <w:r>
        <w:rPr>
          <w:rFonts w:ascii="Times New Roman" w:hAnsi="Times New Roman"/>
          <w:b w:val="false"/>
          <w:i w:val="false"/>
          <w:color w:val="000000"/>
          <w:sz w:val="22"/>
        </w:rPr>
        <w:t> </w:t>
      </w:r>
      <w:r>
        <w:rPr>
          <w:rFonts w:ascii="Times New Roman" w:hAnsi="Times New Roman"/>
          <w:b w:val="false"/>
          <w:i w:val="false"/>
          <w:color w:val="000000"/>
          <w:sz w:val="22"/>
        </w:rPr>
        <w:t>If the retailer or community group to which the license is issued changes the location where the retail sale of consumer fireworks will be sold, the retailer or community group shall submit a new application and all required information for the new site and pay the applicable license fee. The application must be reviewed and approved in order for a new license to be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265.7(2)</w:t>
      </w:r>
      <w:r>
        <w:rPr>
          <w:rFonts w:ascii="Times New Roman" w:hAnsi="Times New Roman"/>
          <w:b w:val="false"/>
          <w:i w:val="false"/>
          <w:color w:val="000000"/>
          <w:sz w:val="22"/>
        </w:rPr>
        <w:t> </w:t>
      </w:r>
      <w:r>
        <w:rPr>
          <w:rFonts w:ascii="Times New Roman" w:hAnsi="Times New Roman"/>
          <w:b w:val="false"/>
          <w:i w:val="false"/>
          <w:color w:val="000000"/>
          <w:sz w:val="22"/>
        </w:rPr>
        <w:t>The licensed retailer or community group or the authorized representative of the licensed retailer or community group must be personally present at all times when consumer fireworks are being sold.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265.7(3)</w:t>
      </w:r>
      <w:r>
        <w:rPr>
          <w:rFonts w:ascii="Times New Roman" w:hAnsi="Times New Roman"/>
          <w:b w:val="false"/>
          <w:i w:val="false"/>
          <w:color w:val="000000"/>
          <w:sz w:val="22"/>
        </w:rPr>
        <w:t> </w:t>
      </w:r>
      <w:r>
        <w:rPr>
          <w:rFonts w:ascii="Times New Roman" w:hAnsi="Times New Roman"/>
          <w:b w:val="false"/>
          <w:i w:val="false"/>
          <w:color w:val="000000"/>
          <w:sz w:val="22"/>
        </w:rPr>
        <w:t>No unlicensed retailer, community group, person, group of people, business, or other for-profit or nonprofit entity may use the license issued to another retailer or community group for the retail sales of consumer fireworks, unless the licensed retailer or community group or the authorized representative of the licensed retailer or community group is personally present at all times when consumer fireworks are being sold.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661—265.8</w:t>
      </w:r>
      <w:r>
        <w:rPr>
          <w:rFonts w:ascii="Times New Roman" w:hAnsi="Times New Roman"/>
          <w:b/>
          <w:i w:val="false"/>
          <w:color w:val="000000"/>
          <w:sz w:val="22"/>
        </w:rPr>
        <w:t xml:space="preserve">(10A) </w:t>
      </w:r>
      <w:r>
        <w:rPr>
          <w:rFonts w:ascii="Times New Roman" w:hAnsi="Times New Roman"/>
          <w:b/>
          <w:i w:val="false"/>
          <w:color w:val="000000"/>
          <w:sz w:val="22"/>
        </w:rPr>
        <w:t xml:space="preserve">Revocation of license. </w:t>
      </w:r>
      <w:r>
        <w:rPr>
          <w:rFonts w:ascii="Times New Roman" w:hAnsi="Times New Roman"/>
          <w:b w:val="false"/>
          <w:i w:val="false"/>
          <w:color w:val="000000"/>
          <w:sz w:val="22"/>
        </w:rPr>
        <w:t>If the department or department’s designee determines during a physical site inspection that a serious violation has occurred, the license for that retail location may be immediately revoked. Vendors will be given the opportunity to remedy violations that are not deemed serious violations.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661—265.9</w:t>
      </w:r>
      <w:r>
        <w:rPr>
          <w:rFonts w:ascii="Times New Roman" w:hAnsi="Times New Roman"/>
          <w:b/>
          <w:i w:val="false"/>
          <w:color w:val="000000"/>
          <w:sz w:val="22"/>
        </w:rPr>
        <w:t xml:space="preserve">(10A) </w:t>
      </w:r>
      <w:r>
        <w:rPr>
          <w:rFonts w:ascii="Times New Roman" w:hAnsi="Times New Roman"/>
          <w:b/>
          <w:i w:val="false"/>
          <w:color w:val="000000"/>
          <w:sz w:val="22"/>
        </w:rPr>
        <w:t xml:space="preserve">Consumer fireworks wholesalers—registration—safety—insurance.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265.9(1)</w:t>
      </w:r>
      <w:r>
        <w:rPr>
          <w:rFonts w:ascii="Times New Roman" w:hAnsi="Times New Roman"/>
          <w:b w:val="false"/>
          <w:i w:val="false"/>
          <w:color w:val="000000"/>
          <w:sz w:val="22"/>
        </w:rPr>
        <w:t> </w:t>
      </w:r>
      <w:r>
        <w:rPr>
          <w:rFonts w:ascii="Times New Roman" w:hAnsi="Times New Roman"/>
          <w:b w:val="false"/>
          <w:i/>
          <w:color w:val="000000"/>
          <w:sz w:val="22"/>
        </w:rPr>
        <w:t xml:space="preserve">Annual registration. </w:t>
      </w:r>
      <w:r>
        <w:rPr>
          <w:rFonts w:ascii="Times New Roman" w:hAnsi="Times New Roman"/>
          <w:b w:val="false"/>
          <w:i w:val="false"/>
          <w:color w:val="000000"/>
          <w:sz w:val="22"/>
        </w:rPr>
        <w:t xml:space="preserve">Each wholesaler shall register with the department annually by completing and submitting the annual registration form and paying the fee as required by Iowa Code section </w:t>
      </w:r>
      <w:hyperlink r:id="rId16">
        <w:r>
          <w:rPr>
            <w:rStyle w:val="Hyperlink"/>
            <w:rFonts w:ascii="Times New Roman" w:hAnsi="Times New Roman"/>
            <w:b w:val="false"/>
            <w:i w:val="false"/>
            <w:color w:val="000000"/>
            <w:sz w:val="22"/>
          </w:rPr>
          <w:t>10A.520(3)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265.9(2)</w:t>
      </w:r>
      <w:r>
        <w:rPr>
          <w:rFonts w:ascii="Times New Roman" w:hAnsi="Times New Roman"/>
          <w:b w:val="false"/>
          <w:i w:val="false"/>
          <w:color w:val="000000"/>
          <w:sz w:val="22"/>
        </w:rPr>
        <w:t> </w:t>
      </w:r>
      <w:r>
        <w:rPr>
          <w:rFonts w:ascii="Times New Roman" w:hAnsi="Times New Roman"/>
          <w:b w:val="false"/>
          <w:i/>
          <w:color w:val="000000"/>
          <w:sz w:val="22"/>
        </w:rPr>
        <w:t xml:space="preserve">Safety regulations—storage and transfer. </w:t>
      </w:r>
      <w:r>
        <w:rPr>
          <w:rFonts w:ascii="Times New Roman" w:hAnsi="Times New Roman"/>
          <w:b w:val="false"/>
          <w:i w:val="false"/>
          <w:color w:val="000000"/>
          <w:sz w:val="22"/>
        </w:rPr>
        <w:t>Each wholesaler shall comply with all of the requirements of NFPA 1124 for the storage and transfer of consumer fireworks.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265.9(3)</w:t>
      </w:r>
      <w:r>
        <w:rPr>
          <w:rFonts w:ascii="Times New Roman" w:hAnsi="Times New Roman"/>
          <w:b w:val="false"/>
          <w:i w:val="false"/>
          <w:color w:val="000000"/>
          <w:sz w:val="22"/>
        </w:rPr>
        <w:t> </w:t>
      </w:r>
      <w:r>
        <w:rPr>
          <w:rFonts w:ascii="Times New Roman" w:hAnsi="Times New Roman"/>
          <w:b w:val="false"/>
          <w:i/>
          <w:color w:val="000000"/>
          <w:sz w:val="22"/>
        </w:rPr>
        <w:t xml:space="preserve">Insurance required. </w:t>
      </w:r>
      <w:r>
        <w:rPr>
          <w:rFonts w:ascii="Times New Roman" w:hAnsi="Times New Roman"/>
          <w:b w:val="false"/>
          <w:i w:val="false"/>
          <w:color w:val="000000"/>
          <w:sz w:val="22"/>
        </w:rPr>
        <w:t>While operating as a wholesaler, each wholesaler shall maintain commercial general liability insurance with minimum per-occurrence coverage of at least $1 million and aggregate coverage of at least $2 million.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661—265.10</w:t>
      </w:r>
      <w:r>
        <w:rPr>
          <w:rFonts w:ascii="Times New Roman" w:hAnsi="Times New Roman"/>
          <w:b/>
          <w:i w:val="false"/>
          <w:color w:val="000000"/>
          <w:sz w:val="22"/>
        </w:rPr>
        <w:t xml:space="preserve">(10A) </w:t>
      </w:r>
      <w:r>
        <w:rPr>
          <w:rFonts w:ascii="Times New Roman" w:hAnsi="Times New Roman"/>
          <w:b/>
          <w:i w:val="false"/>
          <w:color w:val="000000"/>
          <w:sz w:val="22"/>
        </w:rPr>
        <w:t xml:space="preserve">Consumer fireworks fee fund. </w:t>
      </w:r>
      <w:r>
        <w:rPr>
          <w:rFonts w:ascii="Times New Roman" w:hAnsi="Times New Roman"/>
          <w:b w:val="false"/>
          <w:i w:val="false"/>
          <w:color w:val="000000"/>
          <w:sz w:val="22"/>
        </w:rPr>
        <w:t xml:space="preserve">All fees received from the licenses issued for the retail sale of consumer fireworks and the annual registration fees received from wholesalers of consumer fireworks will be deposited into the consumer fireworks fee fund pursuant to Iowa Code section </w:t>
      </w:r>
      <w:hyperlink r:id="rId17">
        <w:r>
          <w:rPr>
            <w:rStyle w:val="Hyperlink"/>
            <w:rFonts w:ascii="Times New Roman" w:hAnsi="Times New Roman"/>
            <w:b w:val="false"/>
            <w:i w:val="false"/>
            <w:color w:val="000000"/>
            <w:sz w:val="22"/>
          </w:rPr>
          <w:t>10A.519</w:t>
        </w:r>
      </w:hyperlink>
      <w:r>
        <w:rPr>
          <w:rFonts w:ascii="Times New Roman" w:hAnsi="Times New Roman"/>
          <w:b w:val="false"/>
          <w:i w:val="false"/>
          <w:color w:val="000000"/>
          <w:sz w:val="22"/>
        </w:rPr>
        <w:t xml:space="preserve">. The department will use the fees deposited into this fund to fulfill the responsibilities of the department for the administration and enforcement of Iowa Code sections </w:t>
      </w:r>
      <w:hyperlink r:id="rId18">
        <w:r>
          <w:rPr>
            <w:rStyle w:val="Hyperlink"/>
            <w:rFonts w:ascii="Times New Roman" w:hAnsi="Times New Roman"/>
            <w:b w:val="false"/>
            <w:i w:val="false"/>
            <w:color w:val="000000"/>
            <w:sz w:val="22"/>
          </w:rPr>
          <w:t>10A.519</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10A.520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661—265.11</w:t>
      </w:r>
      <w:r>
        <w:rPr>
          <w:rFonts w:ascii="Times New Roman" w:hAnsi="Times New Roman"/>
          <w:b/>
          <w:i w:val="false"/>
          <w:color w:val="000000"/>
          <w:sz w:val="22"/>
        </w:rPr>
        <w:t xml:space="preserve">(10A) </w:t>
      </w:r>
      <w:r>
        <w:rPr>
          <w:rFonts w:ascii="Times New Roman" w:hAnsi="Times New Roman"/>
          <w:b/>
          <w:i w:val="false"/>
          <w:color w:val="000000"/>
          <w:sz w:val="22"/>
        </w:rPr>
        <w:t xml:space="preserve">Local fire protection and emergency medical service providers grant program. </w:t>
      </w:r>
      <w:r>
        <w:rPr>
          <w:rFonts w:ascii="Times New Roman" w:hAnsi="Times New Roman"/>
          <w:b w:val="false"/>
          <w:i w:val="false"/>
          <w:color w:val="000000"/>
          <w:sz w:val="22"/>
        </w:rPr>
        <w:t xml:space="preserve">The local fire protection and emergency medical service providers grant program is established by Iowa Code section </w:t>
      </w:r>
      <w:hyperlink r:id="rId20">
        <w:r>
          <w:rPr>
            <w:rStyle w:val="Hyperlink"/>
            <w:rFonts w:ascii="Times New Roman" w:hAnsi="Times New Roman"/>
            <w:b w:val="false"/>
            <w:i w:val="false"/>
            <w:color w:val="000000"/>
            <w:sz w:val="22"/>
          </w:rPr>
          <w:t>10A.519(7)</w:t>
        </w:r>
      </w:hyperlink>
      <w:r>
        <w:rPr>
          <w:rFonts w:ascii="Times New Roman" w:hAnsi="Times New Roman"/>
          <w:b w:val="false"/>
          <w:i w:val="false"/>
          <w:color w:val="000000"/>
          <w:sz w:val="22"/>
        </w:rPr>
        <w:t xml:space="preserve">. The grant program is funded with only those moneys from the consumer fireworks fee fund that are not needed by the department to fulfill the responsibilities of the department for the administration and enforcement of Iowa Code sections </w:t>
      </w:r>
      <w:hyperlink r:id="rId21">
        <w:r>
          <w:rPr>
            <w:rStyle w:val="Hyperlink"/>
            <w:rFonts w:ascii="Times New Roman" w:hAnsi="Times New Roman"/>
            <w:b w:val="false"/>
            <w:i w:val="false"/>
            <w:color w:val="000000"/>
            <w:sz w:val="22"/>
          </w:rPr>
          <w:t>10A.519</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10A.520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265.11(1)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services” </w:t>
      </w:r>
      <w:r>
        <w:rPr>
          <w:rFonts w:ascii="Times New Roman" w:hAnsi="Times New Roman"/>
          <w:b w:val="false"/>
          <w:i w:val="false"/>
          <w:color w:val="000000"/>
          <w:sz w:val="22"/>
        </w:rPr>
        <w:t xml:space="preserve">means the same as defined in Iowa Code section </w:t>
      </w:r>
      <w:hyperlink r:id="rId23">
        <w:r>
          <w:rPr>
            <w:rStyle w:val="Hyperlink"/>
            <w:rFonts w:ascii="Times New Roman" w:hAnsi="Times New Roman"/>
            <w:b w:val="false"/>
            <w:i w:val="false"/>
            <w:color w:val="000000"/>
            <w:sz w:val="22"/>
          </w:rPr>
          <w:t>147A.1(5)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“Fire protection service” </w:t>
      </w:r>
      <w:r>
        <w:rPr>
          <w:rFonts w:ascii="Times New Roman" w:hAnsi="Times New Roman"/>
          <w:b w:val="false"/>
          <w:i w:val="false"/>
          <w:color w:val="000000"/>
          <w:sz w:val="22"/>
        </w:rPr>
        <w:t>means volunteer or paid fire departments.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265.11(2)</w:t>
      </w:r>
      <w:r>
        <w:rPr>
          <w:rFonts w:ascii="Times New Roman" w:hAnsi="Times New Roman"/>
          <w:b w:val="false"/>
          <w:i w:val="false"/>
          <w:color w:val="000000"/>
          <w:sz w:val="22"/>
        </w:rPr>
        <w:t> </w:t>
      </w:r>
      <w:r>
        <w:rPr>
          <w:rFonts w:ascii="Times New Roman" w:hAnsi="Times New Roman"/>
          <w:b w:val="false"/>
          <w:i/>
          <w:color w:val="000000"/>
          <w:sz w:val="22"/>
        </w:rPr>
        <w:t xml:space="preserve">Authorized applicants. </w:t>
      </w:r>
      <w:r>
        <w:rPr>
          <w:rFonts w:ascii="Times New Roman" w:hAnsi="Times New Roman"/>
          <w:b w:val="false"/>
          <w:i w:val="false"/>
          <w:color w:val="000000"/>
          <w:sz w:val="22"/>
        </w:rPr>
        <w:t>Any local fire protection service provider or local emergency medical service provider in the state of Iowa may apply for grant funds from the local fire protection and emergency medical service providers grant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265.11(3)</w:t>
      </w:r>
      <w:r>
        <w:rPr>
          <w:rFonts w:ascii="Times New Roman" w:hAnsi="Times New Roman"/>
          <w:b w:val="false"/>
          <w:i w:val="false"/>
          <w:color w:val="000000"/>
          <w:sz w:val="22"/>
        </w:rPr>
        <w:t> </w:t>
      </w:r>
      <w:r>
        <w:rPr>
          <w:rFonts w:ascii="Times New Roman" w:hAnsi="Times New Roman"/>
          <w:b w:val="false"/>
          <w:i/>
          <w:color w:val="000000"/>
          <w:sz w:val="22"/>
        </w:rPr>
        <w:t xml:space="preserve">Authorized purposes of grant funds. </w:t>
      </w:r>
      <w:r>
        <w:rPr>
          <w:rFonts w:ascii="Times New Roman" w:hAnsi="Times New Roman"/>
          <w:b w:val="false"/>
          <w:i w:val="false"/>
          <w:color w:val="000000"/>
          <w:sz w:val="22"/>
        </w:rPr>
        <w:t>The grant funds in the local fire protection and emergency medical service providers grant program may be used for the following in order of priority: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establish or provide fireworks safety education programming to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purchase necessary enforcement, protection, or emergency response equipment related to the sale and use of consumer fireworks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purchase necessary enforcement, protection, or emergency response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265.11(4)</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An application for grant funds should be made to the department. The application form may be found on the department’s website. Applications must be received on or before June 30 of each year. The application will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shall be signed by a person who is an official, owner, or another person who has authorization to sign on behalf of the fire protection service or the emergency medical service provider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specifics of the proposed use of the grant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application is for equipment, the applicant should include a detailed description of the equipment, the company or entity from which the purchase will be made, the cost, and a justification as to how this equipment purchase fits the purposes of the grant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application is for safety education programming, the application should include a detailed description of the programming, the specific people who will be providing the programming, and a description of the materials to be purchased and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amount of grant funds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265.11(5)</w:t>
      </w:r>
      <w:r>
        <w:rPr>
          <w:rFonts w:ascii="Times New Roman" w:hAnsi="Times New Roman"/>
          <w:b w:val="false"/>
          <w:i w:val="false"/>
          <w:color w:val="000000"/>
          <w:sz w:val="22"/>
        </w:rPr>
        <w:t> </w:t>
      </w:r>
      <w:r>
        <w:rPr>
          <w:rFonts w:ascii="Times New Roman" w:hAnsi="Times New Roman"/>
          <w:b w:val="false"/>
          <w:i/>
          <w:color w:val="000000"/>
          <w:sz w:val="22"/>
        </w:rPr>
        <w:t xml:space="preserve">Approval of application. </w:t>
      </w:r>
      <w:r>
        <w:rPr>
          <w:rFonts w:ascii="Times New Roman" w:hAnsi="Times New Roman"/>
          <w:b w:val="false"/>
          <w:i w:val="false"/>
          <w:color w:val="000000"/>
          <w:sz w:val="22"/>
        </w:rPr>
        <w:t>The director of the department will review the application and determine whether to make the award of grant funds. The director of the department has the sole discretion in determining whether or not to award funds from the grant program to the applicant and the amount of funds awarded to each applicant. Factors to be considered in making an award of grant funds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amount of grant funds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number of applicants for grant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proposed use of the grant funds and whether the use is consistent with the approved program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the applicant has previously been approved for grant funds from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applicant’s use of any previous grant funds received from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265.11(6)</w:t>
      </w:r>
      <w:r>
        <w:rPr>
          <w:rFonts w:ascii="Times New Roman" w:hAnsi="Times New Roman"/>
          <w:b w:val="false"/>
          <w:i w:val="false"/>
          <w:color w:val="000000"/>
          <w:sz w:val="22"/>
        </w:rPr>
        <w:t> </w:t>
      </w:r>
      <w:r>
        <w:rPr>
          <w:rFonts w:ascii="Times New Roman" w:hAnsi="Times New Roman"/>
          <w:b w:val="false"/>
          <w:i/>
          <w:color w:val="000000"/>
          <w:sz w:val="22"/>
        </w:rPr>
        <w:t xml:space="preserve">Award of tangible property. </w:t>
      </w:r>
      <w:r>
        <w:rPr>
          <w:rFonts w:ascii="Times New Roman" w:hAnsi="Times New Roman"/>
          <w:b w:val="false"/>
          <w:i w:val="false"/>
          <w:color w:val="000000"/>
          <w:sz w:val="22"/>
        </w:rPr>
        <w:t>Should the department determine that the purpose of the grant program is better served by awarding tangible property, such as equipment, rather than funds, the department has the authority to award tangible property purchased with grant funds rather than disperse grant funds to the applicants.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265.11(7)</w:t>
      </w:r>
      <w:r>
        <w:rPr>
          <w:rFonts w:ascii="Times New Roman" w:hAnsi="Times New Roman"/>
          <w:b w:val="false"/>
          <w:i w:val="false"/>
          <w:color w:val="000000"/>
          <w:sz w:val="22"/>
        </w:rPr>
        <w:t> </w:t>
      </w:r>
      <w:r>
        <w:rPr>
          <w:rFonts w:ascii="Times New Roman" w:hAnsi="Times New Roman"/>
          <w:b w:val="false"/>
          <w:i/>
          <w:color w:val="000000"/>
          <w:sz w:val="22"/>
        </w:rPr>
        <w:t xml:space="preserve">Report required. </w:t>
      </w:r>
      <w:r>
        <w:rPr>
          <w:rFonts w:ascii="Times New Roman" w:hAnsi="Times New Roman"/>
          <w:b w:val="false"/>
          <w:i w:val="false"/>
          <w:color w:val="000000"/>
          <w:sz w:val="22"/>
        </w:rPr>
        <w:t>All grant recipients shall file a report with the department that lists the amount of grant funds received and the purpose(s) for which the grant funds were spent. The department may conduct an inspection or audit to determine compliance with the rules and purposes of the grant program, in addition to any other authorized audits.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4">
        <w:r>
          <w:rPr>
            <w:rStyle w:val="Hyperlink"/>
            <w:rFonts w:ascii="Times New Roman" w:hAnsi="Times New Roman"/>
            <w:b w:val="false"/>
            <w:i w:val="false"/>
            <w:color w:val="000000"/>
            <w:sz w:val="22"/>
          </w:rPr>
          <w:t>10A.519</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10A.520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ARC 3124C, IAB 6/21/17, effective 5/31/17]</w:t>
      </w:r>
    </w:p>
    <w:p>
      <w:pPr>
        <w:spacing w:before="0" w:after="0"/>
        <w:ind w:left="120"/>
        <w:jc w:val="center"/>
      </w:pPr>
      <w:r>
        <w:rPr>
          <w:rFonts w:ascii="Times New Roman" w:hAnsi="Times New Roman"/>
          <w:b w:val="false"/>
          <w:i w:val="false"/>
          <w:color w:val="000000"/>
          <w:sz w:val="21"/>
        </w:rPr>
        <w:t>[Filed ARC 3592C</w:t>
      </w:r>
      <w:r>
        <w:rPr>
          <w:rFonts w:ascii="Times New Roman" w:hAnsi="Times New Roman"/>
          <w:b w:val="false"/>
          <w:i w:val="false"/>
          <w:color w:val="000000"/>
          <w:sz w:val="21"/>
        </w:rPr>
        <w:t xml:space="preserve"> (Notice ARC 3123C, IAB 6/21/17)</w:t>
      </w:r>
      <w:r>
        <w:rPr>
          <w:rFonts w:ascii="Times New Roman" w:hAnsi="Times New Roman"/>
          <w:b w:val="false"/>
          <w:i w:val="false"/>
          <w:color w:val="000000"/>
          <w:sz w:val="21"/>
        </w:rPr>
        <w:t>, IAB 1/17/18, effective 2/21/18]</w:t>
      </w:r>
    </w:p>
    <w:p>
      <w:pPr>
        <w:spacing w:before="0" w:after="0"/>
        <w:ind w:left="120"/>
        <w:jc w:val="center"/>
      </w:pPr>
      <w:r>
        <w:rPr>
          <w:rFonts w:ascii="Times New Roman" w:hAnsi="Times New Roman"/>
          <w:b w:val="false"/>
          <w:i w:val="false"/>
          <w:color w:val="000000"/>
          <w:sz w:val="21"/>
        </w:rPr>
        <w:t>[Filed ARC 5255C</w:t>
      </w:r>
      <w:r>
        <w:rPr>
          <w:rFonts w:ascii="Times New Roman" w:hAnsi="Times New Roman"/>
          <w:b w:val="false"/>
          <w:i w:val="false"/>
          <w:color w:val="000000"/>
          <w:sz w:val="21"/>
        </w:rPr>
        <w:t xml:space="preserve"> (Notice ARC 5105C, IAB 7/29/20)</w:t>
      </w:r>
      <w:r>
        <w:rPr>
          <w:rFonts w:ascii="Times New Roman" w:hAnsi="Times New Roman"/>
          <w:b w:val="false"/>
          <w:i w:val="false"/>
          <w:color w:val="000000"/>
          <w:sz w:val="21"/>
        </w:rPr>
        <w:t>, IAB 11/4/20, effective 12/9/20]</w:t>
      </w:r>
    </w:p>
    <w:p>
      <w:pPr>
        <w:spacing w:before="0" w:after="0"/>
        <w:ind w:left="120"/>
        <w:jc w:val="center"/>
      </w:pPr>
      <w:r>
        <w:rPr>
          <w:rFonts w:ascii="Times New Roman" w:hAnsi="Times New Roman"/>
          <w:b w:val="false"/>
          <w:i w:val="false"/>
          <w:color w:val="000000"/>
          <w:sz w:val="21"/>
        </w:rPr>
        <w:t>[Filed ARC 6462C</w:t>
      </w:r>
      <w:r>
        <w:rPr>
          <w:rFonts w:ascii="Times New Roman" w:hAnsi="Times New Roman"/>
          <w:b w:val="false"/>
          <w:i w:val="false"/>
          <w:color w:val="000000"/>
          <w:sz w:val="21"/>
        </w:rPr>
        <w:t xml:space="preserve"> (Notice ARC 6335C, IAB 6/1/22)</w:t>
      </w:r>
      <w:r>
        <w:rPr>
          <w:rFonts w:ascii="Times New Roman" w:hAnsi="Times New Roman"/>
          <w:b w:val="false"/>
          <w:i w:val="false"/>
          <w:color w:val="000000"/>
          <w:sz w:val="21"/>
        </w:rPr>
        <w:t>, IAB 8/10/22, effective 9/14/22]</w:t>
      </w:r>
    </w:p>
    <w:p>
      <w:pPr>
        <w:spacing w:before="0" w:after="0"/>
        <w:ind w:left="120"/>
        <w:jc w:val="center"/>
      </w:pPr>
      <w:r>
        <w:rPr>
          <w:rFonts w:ascii="Times New Roman" w:hAnsi="Times New Roman"/>
          <w:b w:val="false"/>
          <w:i w:val="false"/>
          <w:color w:val="000000"/>
          <w:sz w:val="21"/>
        </w:rPr>
        <w:t>[Filed ARC 7872C</w:t>
      </w:r>
      <w:r>
        <w:rPr>
          <w:rFonts w:ascii="Times New Roman" w:hAnsi="Times New Roman"/>
          <w:b w:val="false"/>
          <w:i w:val="false"/>
          <w:color w:val="000000"/>
          <w:sz w:val="21"/>
        </w:rPr>
        <w:t xml:space="preserve"> (Notice ARC 7331C, IAB 1/24/24)</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A.519.pdf" Type="http://schemas.openxmlformats.org/officeDocument/2006/relationships/hyperlink" Id="rId5"/>
    <Relationship TargetMode="External" Target="https://www.legis.iowa.gov/docs/ico/chapter/10A.519.pdf" Type="http://schemas.openxmlformats.org/officeDocument/2006/relationships/hyperlink" Id="rId6"/>
    <Relationship TargetMode="External" Target="https://www.legis.iowa.gov/docs/ico/chapter/10A.520.pdf" Type="http://schemas.openxmlformats.org/officeDocument/2006/relationships/hyperlink" Id="rId7"/>
    <Relationship TargetMode="External" Target="https://www.legis.iowa.gov/docs/ico/chapter/727.2.pdf" Type="http://schemas.openxmlformats.org/officeDocument/2006/relationships/hyperlink" Id="rId8"/>
    <Relationship TargetMode="External" Target="https://www.legis.iowa.gov/docs/ico/chapter/10A.519.pdf" Type="http://schemas.openxmlformats.org/officeDocument/2006/relationships/hyperlink" Id="rId9"/>
    <Relationship TargetMode="External" Target="https://www.legis.iowa.gov/docs/ico/chapter/10A.519.pdf" Type="http://schemas.openxmlformats.org/officeDocument/2006/relationships/hyperlink" Id="rId10"/>
    <Relationship TargetMode="External" Target="https://www.legis.iowa.gov/docs/ico/chapter/10A.519.pdf" Type="http://schemas.openxmlformats.org/officeDocument/2006/relationships/hyperlink" Id="rId11"/>
    <Relationship TargetMode="External" Target="https://www.legis.iowa.gov/docs/ico/chapter/10A.520.pdf" Type="http://schemas.openxmlformats.org/officeDocument/2006/relationships/hyperlink" Id="rId12"/>
    <Relationship TargetMode="External" Target="https://www.legis.iowa.gov/docs/ico/chapter/10A.519.pdf" Type="http://schemas.openxmlformats.org/officeDocument/2006/relationships/hyperlink" Id="rId13"/>
    <Relationship TargetMode="External" Target="https://www.legis.iowa.gov/docs/ico/chapter/10A.519.pdf" Type="http://schemas.openxmlformats.org/officeDocument/2006/relationships/hyperlink" Id="rId14"/>
    <Relationship TargetMode="External" Target="https://www.legis.iowa.gov/docs/iac/rule/661.265.6.pdf" Type="http://schemas.openxmlformats.org/officeDocument/2006/relationships/hyperlink" Id="rId15"/>
    <Relationship TargetMode="External" Target="https://www.legis.iowa.gov/docs/ico/chapter/10A.520.pdf" Type="http://schemas.openxmlformats.org/officeDocument/2006/relationships/hyperlink" Id="rId16"/>
    <Relationship TargetMode="External" Target="https://www.legis.iowa.gov/docs/ico/chapter/10A.519.pdf" Type="http://schemas.openxmlformats.org/officeDocument/2006/relationships/hyperlink" Id="rId17"/>
    <Relationship TargetMode="External" Target="https://www.legis.iowa.gov/docs/ico/chapter/10A.519.pdf" Type="http://schemas.openxmlformats.org/officeDocument/2006/relationships/hyperlink" Id="rId18"/>
    <Relationship TargetMode="External" Target="https://www.legis.iowa.gov/docs/ico/chapter/10A.520.pdf" Type="http://schemas.openxmlformats.org/officeDocument/2006/relationships/hyperlink" Id="rId19"/>
    <Relationship TargetMode="External" Target="https://www.legis.iowa.gov/docs/ico/chapter/10A.519.pdf" Type="http://schemas.openxmlformats.org/officeDocument/2006/relationships/hyperlink" Id="rId20"/>
    <Relationship TargetMode="External" Target="https://www.legis.iowa.gov/docs/ico/chapter/10A.519.pdf" Type="http://schemas.openxmlformats.org/officeDocument/2006/relationships/hyperlink" Id="rId21"/>
    <Relationship TargetMode="External" Target="https://www.legis.iowa.gov/docs/ico/chapter/10A.520.pdf" Type="http://schemas.openxmlformats.org/officeDocument/2006/relationships/hyperlink" Id="rId22"/>
    <Relationship TargetMode="External" Target="https://www.legis.iowa.gov/docs/ico/chapter/147A.1.pdf" Type="http://schemas.openxmlformats.org/officeDocument/2006/relationships/hyperlink" Id="rId23"/>
    <Relationship TargetMode="External" Target="https://www.legis.iowa.gov/docs/ico/chapter/10A.519.pdf" Type="http://schemas.openxmlformats.org/officeDocument/2006/relationships/hyperlink" Id="rId24"/>
    <Relationship TargetMode="External" Target="https://www.legis.iowa.gov/docs/ico/chapter/10A.520.pdf" Type="http://schemas.openxmlformats.org/officeDocument/2006/relationships/hyperlink" Id="rId2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