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210</w:t>
      </w:r>
    </w:p>
    <w:p>
      <w:pPr>
        <w:spacing w:before="0" w:after="0"/>
        <w:ind w:left="120"/>
        <w:jc w:val="center"/>
      </w:pPr>
      <w:r>
        <w:rPr>
          <w:rFonts w:ascii="Times New Roman" w:hAnsi="Times New Roman"/>
          <w:b w:val="false"/>
          <w:i w:val="false"/>
          <w:color w:val="000000"/>
          <w:sz w:val="21"/>
        </w:rPr>
        <w:t>SMOKE ALARMS/DETECTORS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661—210.1</w:t>
      </w:r>
      <w:r>
        <w:rPr>
          <w:rFonts w:ascii="Times New Roman" w:hAnsi="Times New Roman"/>
          <w:b/>
          <w:i w:val="false"/>
          <w:color w:val="000000"/>
          <w:sz w:val="22"/>
        </w:rPr>
        <w:t xml:space="preserve">(100)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661—210.1</w:t>
        </w:r>
      </w:hyperlink>
      <w:r>
        <w:rPr>
          <w:rFonts w:ascii="Times New Roman" w:hAnsi="Times New Roman"/>
          <w:b w:val="false"/>
          <w:i w:val="false"/>
          <w:color w:val="000000"/>
          <w:sz w:val="22"/>
        </w:rPr>
        <w:t xml:space="preserve">(100) through </w:t>
      </w:r>
      <w:hyperlink r:id="rId6">
        <w:r>
          <w:rPr>
            <w:rStyle w:val="Hyperlink"/>
            <w:rFonts w:ascii="Times New Roman" w:hAnsi="Times New Roman"/>
            <w:b w:val="false"/>
            <w:i w:val="false"/>
            <w:color w:val="000000"/>
            <w:sz w:val="22"/>
          </w:rPr>
          <w:t>661—210.5</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that the equipment has been approved or listed for a specific use by an independent testing laboratory or organization of national reputation.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alarm system” </w:t>
      </w:r>
      <w:r>
        <w:rPr>
          <w:rFonts w:ascii="Times New Roman" w:hAnsi="Times New Roman"/>
          <w:b w:val="false"/>
          <w:i w:val="false"/>
          <w:color w:val="000000"/>
          <w:sz w:val="22"/>
        </w:rPr>
        <w:t>means a system or a portion of a combination system consisting of components and circuits arranged to monitor and annunciate the status of fire alarm or supervisory signal-initiating devices and to initiate the appropriate response to those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“Multiple-station smoke alarm” </w:t>
      </w:r>
      <w:r>
        <w:rPr>
          <w:rFonts w:ascii="Times New Roman" w:hAnsi="Times New Roman"/>
          <w:b w:val="false"/>
          <w:i w:val="false"/>
          <w:color w:val="000000"/>
          <w:sz w:val="22"/>
        </w:rPr>
        <w:t>means two or more single-station smoke alarm devices that are capable of interconnection such that actuation of one causes the appropriate alarm signal to operate in all interconnected alarms. Interconnection may occur wirelessly for residential smoke alarms.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“Single-station smoke alarm” </w:t>
      </w:r>
      <w:r>
        <w:rPr>
          <w:rFonts w:ascii="Times New Roman" w:hAnsi="Times New Roman"/>
          <w:b w:val="false"/>
          <w:i w:val="false"/>
          <w:color w:val="000000"/>
          <w:sz w:val="22"/>
        </w:rPr>
        <w:t>means an assembly incorporating the detector, the control equipment and the alarm-sounding device in one unit, operated from a power supply either in the unit or obtained at the point of installation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 alarm” </w:t>
      </w:r>
      <w:r>
        <w:rPr>
          <w:rFonts w:ascii="Times New Roman" w:hAnsi="Times New Roman"/>
          <w:b w:val="false"/>
          <w:i w:val="false"/>
          <w:color w:val="000000"/>
          <w:sz w:val="22"/>
        </w:rPr>
        <w:t>means a single- or multiple-station alarm responsive to smoke. See also “single-station smoke alarm” and “multiple-station smoke alarm.” Residential smoke alarms are required to be listed under Underwriters Laboratory Standard (UL) 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 detector” </w:t>
      </w:r>
      <w:r>
        <w:rPr>
          <w:rFonts w:ascii="Times New Roman" w:hAnsi="Times New Roman"/>
          <w:b w:val="false"/>
          <w:i w:val="false"/>
          <w:color w:val="000000"/>
          <w:sz w:val="22"/>
        </w:rPr>
        <w:t>means a device that senses visible or invisible particles of combustion. Smoke detectors are typically listed under UL 268.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8550B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5254C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661—210.2</w:t>
      </w:r>
      <w:r>
        <w:rPr>
          <w:rFonts w:ascii="Times New Roman" w:hAnsi="Times New Roman"/>
          <w:b/>
          <w:i w:val="false"/>
          <w:color w:val="000000"/>
          <w:sz w:val="22"/>
        </w:rPr>
        <w:t xml:space="preserve">(100) </w:t>
      </w:r>
      <w:r>
        <w:rPr>
          <w:rFonts w:ascii="Times New Roman" w:hAnsi="Times New Roman"/>
          <w:b/>
          <w:i w:val="false"/>
          <w:color w:val="000000"/>
          <w:sz w:val="22"/>
        </w:rPr>
        <w:t xml:space="preserve">Scope. </w:t>
      </w:r>
      <w:r>
        <w:rPr>
          <w:rFonts w:ascii="Times New Roman" w:hAnsi="Times New Roman"/>
          <w:b w:val="false"/>
          <w:i w:val="false"/>
          <w:color w:val="000000"/>
          <w:sz w:val="22"/>
        </w:rPr>
        <w:t>The provisions of this chapter apply to single-family and two-family residences, to townhouses and to all other residential occupancies in commercial buildings unless otherwise provided herein or by another provision of law. The provisions of this chapter do not apply to nonresidential occupancies.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8550B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5254C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661—210.3</w:t>
      </w:r>
      <w:r>
        <w:rPr>
          <w:rFonts w:ascii="Times New Roman" w:hAnsi="Times New Roman"/>
          <w:b/>
          <w:i w:val="false"/>
          <w:color w:val="000000"/>
          <w:sz w:val="22"/>
        </w:rPr>
        <w:t xml:space="preserve">(100)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single-station smoke alarms shall be acceptable in all areas covered by this chapter, unless other fire warning equipment or materials are required by any provision of </w:t>
      </w:r>
      <w:hyperlink r:id="rId7">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if a fire alarm system with smoke detection listed under UL 268 has been installed. Any single-station smoke alarm or multiple-station smoke alarm installed on or after April 1, 2010, in compliance with this subrule, including a replacement of an existing smoke alarm, shall be listed under UL 217.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installation of wiring and equipment shall comply with </w:t>
      </w:r>
      <w:hyperlink r:id="rId10">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210.3(3)</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devices, combinations of devices, and equipment to be installed in conformity with this chapter shall be approved and used for the purposes for which they are intended. Any smoke alarm installed on or after April 1, 2010, in compliance with this chapter, including a replacement of an existing smoke alarm, shall be listed in accordance with UL 217. Existing dual sensor smoke alarms may be maintained until replacement is recommended by the manufacturer or upon failure.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210.3(4)</w:t>
      </w:r>
      <w:r>
        <w:rPr>
          <w:rFonts w:ascii="Times New Roman" w:hAnsi="Times New Roman"/>
          <w:b w:val="false"/>
          <w:i w:val="false"/>
          <w:color w:val="000000"/>
          <w:sz w:val="22"/>
        </w:rPr>
        <w:t> </w:t>
      </w:r>
      <w:r>
        <w:rPr>
          <w:rFonts w:ascii="Times New Roman" w:hAnsi="Times New Roman"/>
          <w:b w:val="false"/>
          <w:i w:val="false"/>
          <w:color w:val="000000"/>
          <w:sz w:val="22"/>
        </w:rPr>
        <w:t>A combination system, such as a household fire warning system whose components may be used in whole or in part, in common with a nonfire emergency signaling system, such as a burglar alarm system or an intercom system, shall not be permitted or approved, except for one- or two-family dwellings.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210.3(5)</w:t>
      </w:r>
      <w:r>
        <w:rPr>
          <w:rFonts w:ascii="Times New Roman" w:hAnsi="Times New Roman"/>
          <w:b w:val="false"/>
          <w:i w:val="false"/>
          <w:color w:val="000000"/>
          <w:sz w:val="22"/>
        </w:rPr>
        <w:t> </w:t>
      </w:r>
      <w:r>
        <w:rPr>
          <w:rFonts w:ascii="Times New Roman" w:hAnsi="Times New Roman"/>
          <w:b w:val="false"/>
          <w:i w:val="false"/>
          <w:color w:val="000000"/>
          <w:sz w:val="22"/>
        </w:rPr>
        <w:t>All power supplies shall be sufficient to operate the smoke detector alarm for at least four continuous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210.3(6)</w:t>
      </w:r>
      <w:r>
        <w:rPr>
          <w:rFonts w:ascii="Times New Roman" w:hAnsi="Times New Roman"/>
          <w:b w:val="false"/>
          <w:i w:val="false"/>
          <w:color w:val="000000"/>
          <w:sz w:val="22"/>
        </w:rPr>
        <w:t> </w:t>
      </w:r>
      <w:r>
        <w:rPr>
          <w:rFonts w:ascii="Times New Roman" w:hAnsi="Times New Roman"/>
          <w:b w:val="false"/>
          <w:i w:val="false"/>
          <w:color w:val="000000"/>
          <w:sz w:val="22"/>
        </w:rPr>
        <w:t>Single-station battery-operated or battery backup smoke alarms shall be replaced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210.3(7)</w:t>
      </w:r>
      <w:r>
        <w:rPr>
          <w:rFonts w:ascii="Times New Roman" w:hAnsi="Times New Roman"/>
          <w:b w:val="false"/>
          <w:i w:val="false"/>
          <w:color w:val="000000"/>
          <w:sz w:val="22"/>
        </w:rPr>
        <w:t> </w:t>
      </w:r>
      <w:r>
        <w:rPr>
          <w:rFonts w:ascii="Times New Roman" w:hAnsi="Times New Roman"/>
          <w:b w:val="false"/>
          <w:i w:val="false"/>
          <w:color w:val="000000"/>
          <w:sz w:val="22"/>
        </w:rPr>
        <w:t>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new buildings and additions constructed after July 1, 1991, required smoke alarms shall receive their primary power from the building wiring when such wiring is served from a commercial source. Wiring shall be permanent and without a disconnecting switch other than that required for overcurrent protection. Smoke alarms may be solely battery-powered when installed in existing buildings, or in buildings without commercial power, or in buildings which undergo alterations, repairs or additions subject to subrule </w:t>
      </w:r>
      <w:hyperlink r:id="rId11">
        <w:r>
          <w:rPr>
            <w:rStyle w:val="Hyperlink"/>
            <w:rFonts w:ascii="Times New Roman" w:hAnsi="Times New Roman"/>
            <w:b w:val="false"/>
            <w:i w:val="false"/>
            <w:color w:val="000000"/>
            <w:sz w:val="22"/>
          </w:rPr>
          <w:t>210.3(2)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and replacement smoke alarms installed after May 1, 1993, which receive their primary power from the building wiring shall be equipped with a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New and replacement smoke alarms installed after July 1, 2016, which receive their primary power from the building wiring where more than one smoke alarm is required to be installed shall be interconnected in such a manner that the activation of one alarm will activate all of the alarms.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June 30, 2021, a battery-powered smoke alarm listed in accordance with UL 217 that is newly installed or replaces an existing battery-powered smoke alarm must be powered by a nonremovable, nonreplaceable battery that powers the alarm for at least ten years. The battery requirements of this subrule do not apply to a fire alarm, smoke detector, smoke alarm, or ancillary component that is electronically connected as a part of a centrally monitored or supervised alarm system; that uses a low-power, radio frequency wireless communication signal.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210.3(8)</w:t>
      </w:r>
      <w:r>
        <w:rPr>
          <w:rFonts w:ascii="Times New Roman" w:hAnsi="Times New Roman"/>
          <w:b w:val="false"/>
          <w:i w:val="false"/>
          <w:color w:val="000000"/>
          <w:sz w:val="22"/>
        </w:rPr>
        <w:t> </w:t>
      </w:r>
      <w:r>
        <w:rPr>
          <w:rFonts w:ascii="Times New Roman" w:hAnsi="Times New Roman"/>
          <w:b w:val="false"/>
          <w:i w:val="false"/>
          <w:color w:val="000000"/>
          <w:sz w:val="22"/>
        </w:rPr>
        <w:t>The failure of any nonreliable or short-life component which renders the alarm inoperative shall be readily apparent to the occupant of the sleeping unit without the need for a test. Each smoke alarm shall detect abnormal quantities of smoke that may occur and shall properly operate in the normal environmental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210.3(9)</w:t>
      </w:r>
      <w:r>
        <w:rPr>
          <w:rFonts w:ascii="Times New Roman" w:hAnsi="Times New Roman"/>
          <w:b w:val="false"/>
          <w:i w:val="false"/>
          <w:color w:val="000000"/>
          <w:sz w:val="22"/>
        </w:rPr>
        <w:t> </w:t>
      </w:r>
      <w:r>
        <w:rPr>
          <w:rFonts w:ascii="Times New Roman" w:hAnsi="Times New Roman"/>
          <w:b w:val="false"/>
          <w:i w:val="false"/>
          <w:color w:val="000000"/>
          <w:sz w:val="22"/>
        </w:rPr>
        <w:t>Equipment shall be installed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210.3(10)</w:t>
      </w:r>
      <w:r>
        <w:rPr>
          <w:rFonts w:ascii="Times New Roman" w:hAnsi="Times New Roman"/>
          <w:b w:val="false"/>
          <w:i w:val="false"/>
          <w:color w:val="000000"/>
          <w:sz w:val="22"/>
        </w:rPr>
        <w:t> </w:t>
      </w:r>
      <w:r>
        <w:rPr>
          <w:rFonts w:ascii="Times New Roman" w:hAnsi="Times New Roman"/>
          <w:b w:val="false"/>
          <w:i w:val="false"/>
          <w:color w:val="000000"/>
          <w:sz w:val="22"/>
        </w:rPr>
        <w:t>Installed fire warning equipment shall be mounted so as to be supported independently of its attachment to wires.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210.3(11)</w:t>
      </w:r>
      <w:r>
        <w:rPr>
          <w:rFonts w:ascii="Times New Roman" w:hAnsi="Times New Roman"/>
          <w:b w:val="false"/>
          <w:i w:val="false"/>
          <w:color w:val="000000"/>
          <w:sz w:val="22"/>
        </w:rPr>
        <w:t> </w:t>
      </w:r>
      <w:r>
        <w:rPr>
          <w:rFonts w:ascii="Times New Roman" w:hAnsi="Times New Roman"/>
          <w:b w:val="false"/>
          <w:i w:val="false"/>
          <w:color w:val="000000"/>
          <w:sz w:val="22"/>
        </w:rPr>
        <w:t>All apparatus shall be restored to normal immediately after each alarm or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210.3(12)</w:t>
      </w:r>
      <w:r>
        <w:rPr>
          <w:rFonts w:ascii="Times New Roman" w:hAnsi="Times New Roman"/>
          <w:b w:val="false"/>
          <w:i w:val="false"/>
          <w:color w:val="000000"/>
          <w:sz w:val="22"/>
        </w:rPr>
        <w:t> </w:t>
      </w:r>
      <w:r>
        <w:rPr>
          <w:rFonts w:ascii="Times New Roman" w:hAnsi="Times New Roman"/>
          <w:b w:val="false"/>
          <w:i w:val="false"/>
          <w:color w:val="000000"/>
          <w:sz w:val="22"/>
        </w:rPr>
        <w:t>Smoke alarms shall be 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ceiling or wall outside of each separate sleeping area in the immediate vicinity of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room used for sleeping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each story within a dwelling unit, including basements but not including crawl spaces and uninhabitable attics. In dwellings or dwelling units with split levels and without an intervening door between the adjacent levels, a smoke alarm installed on the upper level shall suffice for the adjacent lower level provided that the lower level is less than one full story below the upper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7735B</w:t>
      </w:r>
      <w:r>
        <w:rPr>
          <w:rFonts w:ascii="Times New Roman" w:hAnsi="Times New Roman"/>
          <w:b w:val="false"/>
          <w:i w:val="false"/>
          <w:color w:val="000000"/>
          <w:sz w:val="16"/>
        </w:rPr>
        <w:t>, IAB 5/6/09, effective 4/7/09</w:t>
      </w:r>
      <w:r>
        <w:rPr>
          <w:rFonts w:ascii="Times New Roman" w:hAnsi="Times New Roman"/>
          <w:b w:val="false"/>
          <w:i w:val="false"/>
          <w:color w:val="000000"/>
          <w:sz w:val="16"/>
        </w:rPr>
        <w:t xml:space="preserve">; </w:t>
      </w:r>
      <w:r>
        <w:rPr>
          <w:rFonts w:ascii="Times New Roman" w:hAnsi="Times New Roman"/>
          <w:b/>
          <w:i w:val="false"/>
          <w:color w:val="000000"/>
          <w:sz w:val="16"/>
        </w:rPr>
        <w:t>ARC 8151B</w:t>
      </w:r>
      <w:r>
        <w:rPr>
          <w:rFonts w:ascii="Times New Roman" w:hAnsi="Times New Roman"/>
          <w:b w:val="false"/>
          <w:i w:val="false"/>
          <w:color w:val="000000"/>
          <w:sz w:val="16"/>
        </w:rPr>
        <w:t>, IAB 9/23/09,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8550B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5254C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661—210.4</w:t>
      </w:r>
      <w:r>
        <w:rPr>
          <w:rFonts w:ascii="Times New Roman" w:hAnsi="Times New Roman"/>
          <w:b/>
          <w:i w:val="false"/>
          <w:color w:val="000000"/>
          <w:sz w:val="22"/>
        </w:rPr>
        <w:t xml:space="preserve">(100) </w:t>
      </w:r>
      <w:r>
        <w:rPr>
          <w:rFonts w:ascii="Times New Roman" w:hAnsi="Times New Roman"/>
          <w:b/>
          <w:i w:val="false"/>
          <w:color w:val="000000"/>
          <w:sz w:val="22"/>
        </w:rPr>
        <w:t xml:space="preserve">Smoke detectors—notice and certification of installation. </w:t>
      </w:r>
      <w:r>
        <w:rPr>
          <w:rFonts w:ascii="Times New Roman" w:hAnsi="Times New Roman"/>
          <w:b w:val="false"/>
          <w:i w:val="false"/>
          <w:color w:val="000000"/>
          <w:sz w:val="22"/>
        </w:rPr>
        <w:t xml:space="preserve">A person who files for a homestead tax credit pursuant to Iowa Code chapter </w:t>
      </w:r>
      <w:hyperlink r:id="rId12">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shall certify that the single-family dwelling unit for which the credit is filed has a smoke alarm(s) installed in accordance with subrule </w:t>
      </w:r>
      <w:hyperlink r:id="rId13">
        <w:r>
          <w:rPr>
            <w:rStyle w:val="Hyperlink"/>
            <w:rFonts w:ascii="Times New Roman" w:hAnsi="Times New Roman"/>
            <w:b w:val="false"/>
            <w:i w:val="false"/>
            <w:color w:val="000000"/>
            <w:sz w:val="22"/>
          </w:rPr>
          <w:t>210.3(6)</w:t>
        </w:r>
      </w:hyperlink>
      <w:r>
        <w:rPr>
          <w:rFonts w:ascii="Times New Roman" w:hAnsi="Times New Roman"/>
          <w:b w:val="false"/>
          <w:i w:val="false"/>
          <w:color w:val="000000"/>
          <w:sz w:val="22"/>
        </w:rPr>
        <w:t xml:space="preserve"> and paragraph </w:t>
      </w:r>
      <w:hyperlink r:id="rId14">
        <w:r>
          <w:rPr>
            <w:rStyle w:val="Hyperlink"/>
            <w:rFonts w:ascii="Times New Roman" w:hAnsi="Times New Roman"/>
            <w:b w:val="false"/>
            <w:i w:val="false"/>
            <w:color w:val="000000"/>
            <w:sz w:val="22"/>
          </w:rPr>
          <w:t/>
        </w:r>
        <w:r>
          <w:rPr>
            <w:rFonts w:ascii="Times New Roman" w:hAnsi="Times New Roman"/>
            <w:b w:val="false"/>
            <w:i/>
            <w:color w:val="000000"/>
            <w:sz w:val="22"/>
          </w:rPr>
          <w:t>“a,”</w:t>
        </w:r>
      </w:hyperlink>
      <w:hyperlink r:id="rId15">
        <w:r>
          <w:rPr>
            <w:rStyle w:val="Hyperlink"/>
            <w:rFonts w:ascii="Times New Roman" w:hAnsi="Times New Roman"/>
            <w:b w:val="false"/>
            <w:i w:val="false"/>
            <w:color w:val="000000"/>
            <w:sz w:val="22"/>
          </w:rPr>
          <w:t>210.3(12)</w:t>
        </w:r>
      </w:hyperlink>
      <w:r>
        <w:rPr>
          <w:rFonts w:ascii="Times New Roman" w:hAnsi="Times New Roman"/>
          <w:b w:val="false"/>
          <w:i w:val="false"/>
          <w:color w:val="000000"/>
          <w:sz w:val="22"/>
        </w:rPr>
        <w:t xml:space="preserve"> or that such smoke alarm(s) will be installed within 30 days of the date of filing for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8550B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5254C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661—210.5</w:t>
      </w:r>
      <w:r>
        <w:rPr>
          <w:rFonts w:ascii="Times New Roman" w:hAnsi="Times New Roman"/>
          <w:b/>
          <w:i w:val="false"/>
          <w:color w:val="000000"/>
          <w:sz w:val="22"/>
        </w:rPr>
        <w:t xml:space="preserve">(100) </w:t>
      </w:r>
      <w:r>
        <w:rPr>
          <w:rFonts w:ascii="Times New Roman" w:hAnsi="Times New Roman"/>
          <w:b/>
          <w:i w:val="false"/>
          <w:color w:val="000000"/>
          <w:sz w:val="22"/>
        </w:rPr>
        <w:t xml:space="preserve">Smoke detectors—new and existing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210.5(1)</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All multiple-unit residential buildings and single-family dwellings which are constructed after July 1, 1991, shall include the installation of smoke alarms meeting the requirements of rule </w:t>
      </w:r>
      <w:hyperlink r:id="rId16">
        <w:r>
          <w:rPr>
            <w:rStyle w:val="Hyperlink"/>
            <w:rFonts w:ascii="Times New Roman" w:hAnsi="Times New Roman"/>
            <w:b w:val="false"/>
            <w:i w:val="false"/>
            <w:color w:val="000000"/>
            <w:sz w:val="22"/>
          </w:rPr>
          <w:t>661—210.3</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210.5(2)</w:t>
      </w:r>
      <w:r>
        <w:rPr>
          <w:rFonts w:ascii="Times New Roman" w:hAnsi="Times New Roman"/>
          <w:b w:val="false"/>
          <w:i w:val="false"/>
          <w:color w:val="000000"/>
          <w:sz w:val="22"/>
        </w:rPr>
        <w:t> </w:t>
      </w:r>
      <w:r>
        <w:rPr>
          <w:rFonts w:ascii="Times New Roman" w:hAnsi="Times New Roman"/>
          <w:b w:val="false"/>
          <w:i/>
          <w:color w:val="000000"/>
          <w:sz w:val="22"/>
        </w:rPr>
        <w:t xml:space="preserve">Existing construction. </w:t>
      </w:r>
      <w:r>
        <w:rPr>
          <w:rFonts w:ascii="Times New Roman" w:hAnsi="Times New Roman"/>
          <w:b w:val="false"/>
          <w:i w:val="false"/>
          <w:color w:val="000000"/>
          <w:sz w:val="22"/>
        </w:rPr>
        <w:t xml:space="preserve">All existing single-family units and multiple-unit residential buildings shall be equipped with smoke alarms or detectors as required in paragraph </w:t>
      </w:r>
      <w:r>
        <w:rPr>
          <w:rFonts w:ascii="Times New Roman" w:hAnsi="Times New Roman"/>
          <w:b w:val="false"/>
          <w:i w:val="false"/>
          <w:color w:val="000000"/>
          <w:sz w:val="22"/>
        </w:rPr>
        <w:t>210.3(11)“a”</w:t>
      </w:r>
      <w:hyperlink r:id="rId17">
        <w:r>
          <w:rPr>
            <w:rStyle w:val="Hyperlink"/>
            <w:rFonts w:ascii="Times New Roman" w:hAnsi="Times New Roman"/>
            <w:b w:val="false"/>
            <w:i w:val="false"/>
            <w:color w:val="000000"/>
            <w:sz w:val="22"/>
          </w:rPr>
          <w:t>210.3(12)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8550B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5254C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100.18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11/2/06, Notice 9/13/06—published 11/22/06, effective 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7735B, IAB 5/6/09, effective 4/7/09]</w:t>
      </w:r>
    </w:p>
    <w:p>
      <w:pPr>
        <w:spacing w:before="0" w:after="0"/>
        <w:ind w:left="120"/>
        <w:jc w:val="center"/>
      </w:pPr>
      <w:r>
        <w:rPr>
          <w:rFonts w:ascii="Times New Roman" w:hAnsi="Times New Roman"/>
          <w:b w:val="false"/>
          <w:i w:val="false"/>
          <w:color w:val="000000"/>
          <w:sz w:val="21"/>
        </w:rPr>
        <w:t>[Filed Emergency ARC 8151B, IAB 9/23/09, effective 9/1/09]</w:t>
      </w:r>
    </w:p>
    <w:p>
      <w:pPr>
        <w:spacing w:before="0" w:after="0"/>
        <w:ind w:left="120"/>
        <w:jc w:val="center"/>
      </w:pPr>
      <w:r>
        <w:rPr>
          <w:rFonts w:ascii="Times New Roman" w:hAnsi="Times New Roman"/>
          <w:b w:val="false"/>
          <w:i w:val="false"/>
          <w:color w:val="000000"/>
          <w:sz w:val="21"/>
        </w:rPr>
        <w:t>[Filed ARC 8550B</w:t>
      </w:r>
      <w:r>
        <w:rPr>
          <w:rFonts w:ascii="Times New Roman" w:hAnsi="Times New Roman"/>
          <w:b w:val="false"/>
          <w:i w:val="false"/>
          <w:color w:val="000000"/>
          <w:sz w:val="21"/>
        </w:rPr>
        <w:t xml:space="preserve"> (Notice ARC 8150B, IAB 9/23/09)</w:t>
      </w:r>
      <w:r>
        <w:rPr>
          <w:rFonts w:ascii="Times New Roman" w:hAnsi="Times New Roman"/>
          <w:b w:val="false"/>
          <w:i w:val="false"/>
          <w:color w:val="000000"/>
          <w:sz w:val="21"/>
        </w:rPr>
        <w:t>, IAB 2/24/10, effective 4/1/10]</w:t>
      </w:r>
    </w:p>
    <w:p>
      <w:pPr>
        <w:spacing w:before="0" w:after="0"/>
        <w:ind w:left="120"/>
        <w:jc w:val="center"/>
      </w:pPr>
      <w:r>
        <w:rPr>
          <w:rFonts w:ascii="Times New Roman" w:hAnsi="Times New Roman"/>
          <w:b w:val="false"/>
          <w:i w:val="false"/>
          <w:color w:val="000000"/>
          <w:sz w:val="21"/>
        </w:rPr>
        <w:t>[Filed ARC 2494C</w:t>
      </w:r>
      <w:r>
        <w:rPr>
          <w:rFonts w:ascii="Times New Roman" w:hAnsi="Times New Roman"/>
          <w:b w:val="false"/>
          <w:i w:val="false"/>
          <w:color w:val="000000"/>
          <w:sz w:val="21"/>
        </w:rPr>
        <w:t xml:space="preserve"> (Notice ARC 2266C,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5254C</w:t>
      </w:r>
      <w:r>
        <w:rPr>
          <w:rFonts w:ascii="Times New Roman" w:hAnsi="Times New Roman"/>
          <w:b w:val="false"/>
          <w:i w:val="false"/>
          <w:color w:val="000000"/>
          <w:sz w:val="21"/>
        </w:rPr>
        <w:t xml:space="preserve"> (Notice ARC 5083C, IAB 7/15/20)</w:t>
      </w:r>
      <w:r>
        <w:rPr>
          <w:rFonts w:ascii="Times New Roman" w:hAnsi="Times New Roman"/>
          <w:b w:val="false"/>
          <w:i w:val="false"/>
          <w:color w:val="000000"/>
          <w:sz w:val="21"/>
        </w:rPr>
        <w:t>, IAB 11/4/20, effective 12/9/20]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210.1.pdf" Type="http://schemas.openxmlformats.org/officeDocument/2006/relationships/hyperlink" Id="rId5"/>
    <Relationship TargetMode="External" Target="https://www.legis.iowa.gov/docs/iac/rule/661.210.5.pdf" Type="http://schemas.openxmlformats.org/officeDocument/2006/relationships/hyperlink" Id="rId6"/>
    <Relationship TargetMode="External" Target="https://www.legis.iowa.gov/docs/iac/chapter/661.201.pdf" Type="http://schemas.openxmlformats.org/officeDocument/2006/relationships/hyperlink" Id="rId7"/>
    <Relationship TargetMode="External" Target="https://www.legis.iowa.gov/docs/iac/chapter/661.202.pdf" Type="http://schemas.openxmlformats.org/officeDocument/2006/relationships/hyperlink" Id="rId8"/>
    <Relationship TargetMode="External" Target="https://www.legis.iowa.gov/docs/iac/chapter/661.205.pdf" Type="http://schemas.openxmlformats.org/officeDocument/2006/relationships/hyperlink" Id="rId9"/>
    <Relationship TargetMode="External" Target="https://www.legis.iowa.gov/docs/iac/chapter/661.504.pdf" Type="http://schemas.openxmlformats.org/officeDocument/2006/relationships/hyperlink" Id="rId10"/>
    <Relationship TargetMode="External" Target="https://www.legis.iowa.gov/docs/iac/rule/661.210.3.pdf" Type="http://schemas.openxmlformats.org/officeDocument/2006/relationships/hyperlink" Id="rId11"/>
    <Relationship TargetMode="External" Target="https://www.legis.iowa.gov/docs/ico/chapter/425.pdf" Type="http://schemas.openxmlformats.org/officeDocument/2006/relationships/hyperlink" Id="rId12"/>
    <Relationship TargetMode="External" Target="https://www.legis.iowa.gov/docs/iac/rule/661.210.3.pdf" Type="http://schemas.openxmlformats.org/officeDocument/2006/relationships/hyperlink" Id="rId13"/>
    <Relationship TargetMode="External" Target="https://www.legis.iowa.gov/docs/iac/rule/661.210.3.pdf" Type="http://schemas.openxmlformats.org/officeDocument/2006/relationships/hyperlink" Id="rId14"/>
    <Relationship TargetMode="External" Target="https://www.legis.iowa.gov/docs/ico/chapter/210.3.pdf" Type="http://schemas.openxmlformats.org/officeDocument/2006/relationships/hyperlink" Id="rId15"/>
    <Relationship TargetMode="External" Target="https://www.legis.iowa.gov/docs/iac/rule/661.210.3.pdf" Type="http://schemas.openxmlformats.org/officeDocument/2006/relationships/hyperlink" Id="rId16"/>
    <Relationship TargetMode="External" Target="https://www.legis.iowa.gov/docs/iac/rule/661.210.3.pdf" Type="http://schemas.openxmlformats.org/officeDocument/2006/relationships/hyperlink" Id="rId17"/>
    <Relationship TargetMode="External" Target="https://www.legis.iowa.gov/docs/ico/chapter/100.1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