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205</w:t>
      </w:r>
    </w:p>
    <w:p>
      <w:pPr>
        <w:spacing w:before="0" w:after="0"/>
        <w:ind w:left="120"/>
        <w:jc w:val="center"/>
      </w:pPr>
      <w:r>
        <w:rPr>
          <w:rFonts w:ascii="Times New Roman" w:hAnsi="Times New Roman"/>
          <w:b w:val="false"/>
          <w:i w:val="false"/>
          <w:color w:val="000000"/>
          <w:sz w:val="21"/>
        </w:rPr>
        <w:t>FIRE SAFETY REQUIREMENTS FOR HOSPITALS AND</w:t>
      </w:r>
      <w:r>
        <w:br/>
      </w:r>
      <w:r>
        <w:rPr>
          <w:rFonts w:ascii="Times New Roman" w:hAnsi="Times New Roman"/>
          <w:b w:val="false"/>
          <w:i w:val="false"/>
          <w:color w:val="000000"/>
          <w:sz w:val="21"/>
        </w:rPr>
        <w:t>HEALTH CARE FACILITIES</w:t>
      </w:r>
    </w:p>
    <w:p>
      <w:pPr>
        <w:spacing w:before="0" w:after="0"/>
        <w:ind w:left="120"/>
        <w:jc w:val="center"/>
      </w:pPr>
      <w:r>
        <w:rPr>
          <w:rFonts w:ascii="Times New Roman" w:hAnsi="Times New Roman"/>
          <w:b w:val="false"/>
          <w:i w:val="false"/>
          <w:color w:val="000000"/>
          <w:sz w:val="14"/>
        </w:rPr>
        <w:t>[Prior to 4/2/03, see rules 661—5.550(100) to 661—5.603(100)]</w:t>
      </w:r>
    </w:p>
    <w:p>
      <w:pPr>
        <w:spacing w:before="0" w:after="0"/>
        <w:ind w:left="120"/>
        <w:jc w:val="center"/>
      </w:pPr>
      <w:r>
        <w:rPr>
          <w:rFonts w:ascii="Times New Roman" w:hAnsi="Times New Roman"/>
          <w:b w:val="false"/>
          <w:i w:val="false"/>
          <w:color w:val="000000"/>
          <w:sz w:val="14"/>
        </w:rPr>
        <w:t>[Prior to 6/22/05, see rules 661—5.900(100) to 661—5.950(135C)]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661—205.1</w:t>
      </w:r>
      <w:r>
        <w:rPr>
          <w:rFonts w:ascii="Times New Roman" w:hAnsi="Times New Roman"/>
          <w:b/>
          <w:i w:val="false"/>
          <w:color w:val="000000"/>
          <w:sz w:val="22"/>
        </w:rPr>
        <w:t xml:space="preserve">(100)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661—205.1</w:t>
        </w:r>
      </w:hyperlink>
      <w:r>
        <w:rPr>
          <w:rFonts w:ascii="Times New Roman" w:hAnsi="Times New Roman"/>
          <w:b w:val="false"/>
          <w:i w:val="false"/>
          <w:color w:val="000000"/>
          <w:sz w:val="22"/>
        </w:rPr>
        <w:t xml:space="preserve">(100) through </w:t>
      </w:r>
      <w:hyperlink r:id="rId6">
        <w:r>
          <w:rPr>
            <w:rStyle w:val="Hyperlink"/>
            <w:rFonts w:ascii="Times New Roman" w:hAnsi="Times New Roman"/>
            <w:b w:val="false"/>
            <w:i w:val="false"/>
            <w:color w:val="000000"/>
            <w:sz w:val="22"/>
          </w:rPr>
          <w:t>661—205.25</w:t>
        </w:r>
      </w:hyperlink>
      <w:r>
        <w:rPr>
          <w:rFonts w:ascii="Times New Roman" w:hAnsi="Times New Roman"/>
          <w:b w:val="false"/>
          <w:i w:val="false"/>
          <w:color w:val="000000"/>
          <w:sz w:val="22"/>
        </w:rPr>
        <w:t>(100).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“Ambulatory health care facility” </w:t>
      </w:r>
      <w:r>
        <w:rPr>
          <w:rFonts w:ascii="Times New Roman" w:hAnsi="Times New Roman"/>
          <w:b w:val="false"/>
          <w:i w:val="false"/>
          <w:color w:val="000000"/>
          <w:sz w:val="22"/>
        </w:rPr>
        <w:t>means a facility or portion thereof used to provide services or treatment that provides, on an outpatient basis, treatment for one or more patients that renders the patients incapable of taking action for self-preservation under emergency conditions without the assistance of others; or provides, on an outpatient basis, anesthesia that renders the patient incapable of taking action for self-preservation under emergency conditions without the assistance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w:t>
      </w:r>
      <w:r>
        <w:rPr>
          <w:rFonts w:ascii="Times New Roman" w:hAnsi="Times New Roman"/>
          <w:b w:val="false"/>
          <w:i w:val="false"/>
          <w:color w:val="000000"/>
          <w:sz w:val="22"/>
        </w:rPr>
        <w:t>means that a facility (1) has been in continuous operation under its current classification of occupancy since before July 5, 2016, and has not undergone renovation or remodeling, including an addition, on or after July 5, 2016, or (2) received plan approval for initial construction or for its most recent renovation or remodeling project, including an addition, if any, from the building code bureau of the fire marshal division prior to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“Hospice” </w:t>
      </w:r>
      <w:r>
        <w:rPr>
          <w:rFonts w:ascii="Times New Roman" w:hAnsi="Times New Roman"/>
          <w:b w:val="false"/>
          <w:i w:val="false"/>
          <w:color w:val="000000"/>
          <w:sz w:val="22"/>
        </w:rPr>
        <w:t xml:space="preserve">means a facility licensed or seeking licensure pursuant to Iowa Code section </w:t>
      </w:r>
      <w:hyperlink r:id="rId7">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or seeking licensure pursuant to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w:t>
      </w:r>
      <w:r>
        <w:rPr>
          <w:rFonts w:ascii="Times New Roman" w:hAnsi="Times New Roman"/>
          <w:b w:val="false"/>
          <w:i w:val="false"/>
          <w:color w:val="000000"/>
          <w:sz w:val="22"/>
        </w:rPr>
        <w:t xml:space="preserve">means a facility licensed or seeking licensure pursuant to Iowa Code section </w:t>
      </w:r>
      <w:hyperlink r:id="rId9">
        <w:r>
          <w:rPr>
            <w:rStyle w:val="Hyperlink"/>
            <w:rFonts w:ascii="Times New Roman" w:hAnsi="Times New Roman"/>
            <w:b w:val="false"/>
            <w:i w:val="false"/>
            <w:color w:val="000000"/>
            <w:sz w:val="22"/>
          </w:rPr>
          <w:t>135C.2(3)</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w:t>
      </w:r>
      <w:r>
        <w:rPr>
          <w:rFonts w:ascii="Times New Roman" w:hAnsi="Times New Roman"/>
          <w:b w:val="false"/>
          <w:i w:val="false"/>
          <w:color w:val="000000"/>
          <w:sz w:val="22"/>
        </w:rPr>
        <w:t>means that a facility (1) commenced continuous operation under its current classification of occupancy on or after July 5, 2016, (2) has undergone renovation or remodeling, including an addition, on or after July 5, 2016, or (3) received plan approval from the building code bureau of the fire marshal division for the initial construction of the facility or the most recent renovation of or addition to the facility on or after July 5,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“NFPA” </w:t>
      </w:r>
      <w:r>
        <w:rPr>
          <w:rFonts w:ascii="Times New Roman" w:hAnsi="Times New Roman"/>
          <w:b w:val="false"/>
          <w:i w:val="false"/>
          <w:color w:val="000000"/>
          <w:sz w:val="22"/>
        </w:rPr>
        <w:t>means the National Fire Protection Association, Batterymarch Park, Quincy, MA 02269. References to the form “NFPA xx,” where “xx” is a number, refer to the NFPA standard or pamphlet of the corresponding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a facility licensed or seeking licensure pursuant to Iowa Code section </w:t>
      </w:r>
      <w:hyperlink r:id="rId10">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 including a nursing facility for intermediate care or a nursing facility for skilled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661—205.2</w:t>
      </w:r>
      <w:r>
        <w:rPr>
          <w:rFonts w:ascii="Times New Roman" w:hAnsi="Times New Roman"/>
          <w:b w:val="false"/>
          <w:i w:val="false"/>
          <w:color w:val="000000"/>
          <w:sz w:val="22"/>
        </w:rPr>
        <w:t xml:space="preserve"> to </w:t>
      </w:r>
      <w:r>
        <w:rPr>
          <w:rFonts w:ascii="Times New Roman" w:hAnsi="Times New Roman"/>
          <w:b/>
          <w:i w:val="false"/>
          <w:color w:val="000000"/>
          <w:sz w:val="22"/>
        </w:rPr>
        <w:t>205.4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661—205.5</w:t>
      </w:r>
      <w:r>
        <w:rPr>
          <w:rFonts w:ascii="Times New Roman" w:hAnsi="Times New Roman"/>
          <w:b/>
          <w:i w:val="false"/>
          <w:color w:val="000000"/>
          <w:sz w:val="22"/>
        </w:rPr>
        <w:t xml:space="preserve">(100) </w:t>
      </w:r>
      <w:r>
        <w:rPr>
          <w:rFonts w:ascii="Times New Roman" w:hAnsi="Times New Roman"/>
          <w:b/>
          <w:i w:val="false"/>
          <w:color w:val="000000"/>
          <w:sz w:val="22"/>
        </w:rPr>
        <w:t xml:space="preserve">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205.5(1)</w:t>
      </w:r>
      <w:r>
        <w:rPr>
          <w:rFonts w:ascii="Times New Roman" w:hAnsi="Times New Roman"/>
          <w:b w:val="false"/>
          <w:i w:val="false"/>
          <w:color w:val="000000"/>
          <w:sz w:val="22"/>
        </w:rPr>
        <w:t> </w:t>
      </w:r>
      <w:r>
        <w:rPr>
          <w:rFonts w:ascii="Times New Roman" w:hAnsi="Times New Roman"/>
          <w:b w:val="false"/>
          <w:i/>
          <w:color w:val="000000"/>
          <w:sz w:val="22"/>
        </w:rPr>
        <w:t xml:space="preserve">New hospitals. </w:t>
      </w:r>
      <w:r>
        <w:rPr>
          <w:rFonts w:ascii="Times New Roman" w:hAnsi="Times New Roman"/>
          <w:b w:val="false"/>
          <w:i w:val="false"/>
          <w:color w:val="000000"/>
          <w:sz w:val="22"/>
        </w:rPr>
        <w:t>NFPA 101, Life Safety Code, 2012 edition, Chapter 18, is adopted by reference as the fire safety rules for new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205.5(2)</w:t>
      </w:r>
      <w:r>
        <w:rPr>
          <w:rFonts w:ascii="Times New Roman" w:hAnsi="Times New Roman"/>
          <w:b w:val="false"/>
          <w:i w:val="false"/>
          <w:color w:val="000000"/>
          <w:sz w:val="22"/>
        </w:rPr>
        <w:t> </w:t>
      </w:r>
      <w:r>
        <w:rPr>
          <w:rFonts w:ascii="Times New Roman" w:hAnsi="Times New Roman"/>
          <w:b w:val="false"/>
          <w:i/>
          <w:color w:val="000000"/>
          <w:sz w:val="22"/>
        </w:rPr>
        <w:t xml:space="preserve">Existing hospitals. </w:t>
      </w:r>
      <w:r>
        <w:rPr>
          <w:rFonts w:ascii="Times New Roman" w:hAnsi="Times New Roman"/>
          <w:b w:val="false"/>
          <w:i w:val="false"/>
          <w:color w:val="000000"/>
          <w:sz w:val="22"/>
        </w:rPr>
        <w:t>NFPA 101, Life Safety Code, 2012 edition, Chapter 19, is adopted by reference as the fire safety rules for existing hospitals.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661—205.6</w:t>
      </w:r>
      <w:r>
        <w:rPr>
          <w:rFonts w:ascii="Times New Roman" w:hAnsi="Times New Roman"/>
          <w:b w:val="false"/>
          <w:i w:val="false"/>
          <w:color w:val="000000"/>
          <w:sz w:val="22"/>
        </w:rPr>
        <w:t xml:space="preserve"> to </w:t>
      </w:r>
      <w:r>
        <w:rPr>
          <w:rFonts w:ascii="Times New Roman" w:hAnsi="Times New Roman"/>
          <w:b/>
          <w:i w:val="false"/>
          <w:color w:val="000000"/>
          <w:sz w:val="22"/>
        </w:rPr>
        <w:t>205.9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661—205.10</w:t>
      </w:r>
      <w:r>
        <w:rPr>
          <w:rFonts w:ascii="Times New Roman" w:hAnsi="Times New Roman"/>
          <w:b/>
          <w:i w:val="false"/>
          <w:color w:val="000000"/>
          <w:sz w:val="22"/>
        </w:rPr>
        <w:t xml:space="preserve">(100) </w:t>
      </w:r>
      <w:r>
        <w:rPr>
          <w:rFonts w:ascii="Times New Roman" w:hAnsi="Times New Roman"/>
          <w:b/>
          <w:i w:val="false"/>
          <w:color w:val="000000"/>
          <w:sz w:val="22"/>
        </w:rPr>
        <w:t xml:space="preserve">Nursing facilities and hospices.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205.10(1)</w:t>
      </w:r>
      <w:r>
        <w:rPr>
          <w:rFonts w:ascii="Times New Roman" w:hAnsi="Times New Roman"/>
          <w:b w:val="false"/>
          <w:i w:val="false"/>
          <w:color w:val="000000"/>
          <w:sz w:val="22"/>
        </w:rPr>
        <w:t> </w:t>
      </w:r>
      <w:r>
        <w:rPr>
          <w:rFonts w:ascii="Times New Roman" w:hAnsi="Times New Roman"/>
          <w:b w:val="false"/>
          <w:i/>
          <w:color w:val="000000"/>
          <w:sz w:val="22"/>
        </w:rPr>
        <w:t xml:space="preserve">New nursing facilities and hospices. </w:t>
      </w:r>
      <w:r>
        <w:rPr>
          <w:rFonts w:ascii="Times New Roman" w:hAnsi="Times New Roman"/>
          <w:b w:val="false"/>
          <w:i w:val="false"/>
          <w:color w:val="000000"/>
          <w:sz w:val="22"/>
        </w:rPr>
        <w:t>NFPA 101, Life Safety Code, 2012 edition, Chapter 18, is adopted by reference as the fire safety rules for new nursing facilities and hospices that provide inpatient care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205.10(2)</w:t>
      </w:r>
      <w:r>
        <w:rPr>
          <w:rFonts w:ascii="Times New Roman" w:hAnsi="Times New Roman"/>
          <w:b w:val="false"/>
          <w:i w:val="false"/>
          <w:color w:val="000000"/>
          <w:sz w:val="22"/>
        </w:rPr>
        <w:t> </w:t>
      </w:r>
      <w:r>
        <w:rPr>
          <w:rFonts w:ascii="Times New Roman" w:hAnsi="Times New Roman"/>
          <w:b w:val="false"/>
          <w:i/>
          <w:color w:val="000000"/>
          <w:sz w:val="22"/>
        </w:rPr>
        <w:t xml:space="preserve">Existing nursing facilities and hospices. </w:t>
      </w:r>
      <w:r>
        <w:rPr>
          <w:rFonts w:ascii="Times New Roman" w:hAnsi="Times New Roman"/>
          <w:b w:val="false"/>
          <w:i w:val="false"/>
          <w:color w:val="000000"/>
          <w:sz w:val="22"/>
        </w:rPr>
        <w:t>NFPA 101, Life Safety Code, 2012 edition, Chapter 19, is adopted by reference as the fire safety rules for existing nursing facilities and hospices that provide inpatient care directly.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661—205.11</w:t>
      </w:r>
      <w:r>
        <w:rPr>
          <w:rFonts w:ascii="Times New Roman" w:hAnsi="Times New Roman"/>
          <w:b w:val="false"/>
          <w:i w:val="false"/>
          <w:color w:val="000000"/>
          <w:sz w:val="22"/>
        </w:rPr>
        <w:t xml:space="preserve"> to </w:t>
      </w:r>
      <w:r>
        <w:rPr>
          <w:rFonts w:ascii="Times New Roman" w:hAnsi="Times New Roman"/>
          <w:b/>
          <w:i w:val="false"/>
          <w:color w:val="000000"/>
          <w:sz w:val="22"/>
        </w:rPr>
        <w:t>205.14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661—205.15</w:t>
      </w:r>
      <w:r>
        <w:rPr>
          <w:rFonts w:ascii="Times New Roman" w:hAnsi="Times New Roman"/>
          <w:b/>
          <w:i w:val="false"/>
          <w:color w:val="000000"/>
          <w:sz w:val="22"/>
        </w:rPr>
        <w:t xml:space="preserve">(100) </w:t>
      </w:r>
      <w:r>
        <w:rPr>
          <w:rFonts w:ascii="Times New Roman" w:hAnsi="Times New Roman"/>
          <w:b/>
          <w:i w:val="false"/>
          <w:color w:val="000000"/>
          <w:sz w:val="22"/>
        </w:rPr>
        <w:t xml:space="preserve">Intermediate care facilities for persons with intellectual disabilities and intermediate care facilities for persons with mental illness.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205.15(1)</w:t>
      </w:r>
      <w:r>
        <w:rPr>
          <w:rFonts w:ascii="Times New Roman" w:hAnsi="Times New Roman"/>
          <w:b w:val="false"/>
          <w:i w:val="false"/>
          <w:color w:val="000000"/>
          <w:sz w:val="22"/>
        </w:rPr>
        <w:t> </w:t>
      </w:r>
      <w:r>
        <w:rPr>
          <w:rFonts w:ascii="Times New Roman" w:hAnsi="Times New Roman"/>
          <w:b w:val="false"/>
          <w:i/>
          <w:color w:val="000000"/>
          <w:sz w:val="22"/>
        </w:rPr>
        <w:t xml:space="preserve">New intermediate care facilities. </w:t>
      </w:r>
      <w:r>
        <w:rPr>
          <w:rFonts w:ascii="Times New Roman" w:hAnsi="Times New Roman"/>
          <w:b w:val="false"/>
          <w:i w:val="false"/>
          <w:color w:val="000000"/>
          <w:sz w:val="22"/>
        </w:rPr>
        <w:t>New intermediate care facilities for persons with intellectual disabilities and new intermediate care facilities for persons with mental illness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32.</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205.15(2)</w:t>
      </w:r>
      <w:r>
        <w:rPr>
          <w:rFonts w:ascii="Times New Roman" w:hAnsi="Times New Roman"/>
          <w:b w:val="false"/>
          <w:i w:val="false"/>
          <w:color w:val="000000"/>
          <w:sz w:val="22"/>
        </w:rPr>
        <w:t> </w:t>
      </w:r>
      <w:r>
        <w:rPr>
          <w:rFonts w:ascii="Times New Roman" w:hAnsi="Times New Roman"/>
          <w:b w:val="false"/>
          <w:i/>
          <w:color w:val="000000"/>
          <w:sz w:val="22"/>
        </w:rPr>
        <w:t xml:space="preserve">Existing intermediate care facilities. </w:t>
      </w:r>
      <w:r>
        <w:rPr>
          <w:rFonts w:ascii="Times New Roman" w:hAnsi="Times New Roman"/>
          <w:b w:val="false"/>
          <w:i w:val="false"/>
          <w:color w:val="000000"/>
          <w:sz w:val="22"/>
        </w:rPr>
        <w:t>Existing intermediate care facilities for persons with intellectual disabilities and existing intermediate care facilities for persons with mental illness shall comply with the provisions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NFPA 101, Life Safety Code, 2012 edition, Chapter 33.</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Any requirement contained in Chapter 33 that is determined on a rating of evacuation capability shall be based upon an evacuation capability rating of “impractical.” Any provision which depends upon an evacuation rating of “prompt” or “slow” shall be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661—205.16</w:t>
      </w:r>
      <w:r>
        <w:rPr>
          <w:rFonts w:ascii="Times New Roman" w:hAnsi="Times New Roman"/>
          <w:b w:val="false"/>
          <w:i w:val="false"/>
          <w:color w:val="000000"/>
          <w:sz w:val="22"/>
        </w:rPr>
        <w:t xml:space="preserve"> to </w:t>
      </w:r>
      <w:r>
        <w:rPr>
          <w:rFonts w:ascii="Times New Roman" w:hAnsi="Times New Roman"/>
          <w:b/>
          <w:i w:val="false"/>
          <w:color w:val="000000"/>
          <w:sz w:val="22"/>
        </w:rPr>
        <w:t>205.19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661—205.20</w:t>
      </w:r>
      <w:r>
        <w:rPr>
          <w:rFonts w:ascii="Times New Roman" w:hAnsi="Times New Roman"/>
          <w:b/>
          <w:i w:val="false"/>
          <w:color w:val="000000"/>
          <w:sz w:val="22"/>
        </w:rPr>
        <w:t xml:space="preserve">(100) </w:t>
      </w:r>
      <w:r>
        <w:rPr>
          <w:rFonts w:ascii="Times New Roman" w:hAnsi="Times New Roman"/>
          <w:b/>
          <w:i w:val="false"/>
          <w:color w:val="000000"/>
          <w:sz w:val="22"/>
        </w:rPr>
        <w:t xml:space="preserve">Ambulatory health care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205.20(1)</w:t>
      </w:r>
      <w:r>
        <w:rPr>
          <w:rFonts w:ascii="Times New Roman" w:hAnsi="Times New Roman"/>
          <w:b w:val="false"/>
          <w:i w:val="false"/>
          <w:color w:val="000000"/>
          <w:sz w:val="22"/>
        </w:rPr>
        <w:t> </w:t>
      </w:r>
      <w:r>
        <w:rPr>
          <w:rFonts w:ascii="Times New Roman" w:hAnsi="Times New Roman"/>
          <w:b w:val="false"/>
          <w:i/>
          <w:color w:val="000000"/>
          <w:sz w:val="22"/>
        </w:rPr>
        <w:t xml:space="preserve">New ambulatory health care facilities. </w:t>
      </w:r>
      <w:r>
        <w:rPr>
          <w:rFonts w:ascii="Times New Roman" w:hAnsi="Times New Roman"/>
          <w:b w:val="false"/>
          <w:i w:val="false"/>
          <w:color w:val="000000"/>
          <w:sz w:val="22"/>
        </w:rPr>
        <w:t>NFPA 101, Life Safety Code, 2012 edition, Chapter 20, is adopted by reference as the fire safety rules for new ambulatory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205.20(2)</w:t>
      </w:r>
      <w:r>
        <w:rPr>
          <w:rFonts w:ascii="Times New Roman" w:hAnsi="Times New Roman"/>
          <w:b w:val="false"/>
          <w:i w:val="false"/>
          <w:color w:val="000000"/>
          <w:sz w:val="22"/>
        </w:rPr>
        <w:t> </w:t>
      </w:r>
      <w:r>
        <w:rPr>
          <w:rFonts w:ascii="Times New Roman" w:hAnsi="Times New Roman"/>
          <w:b w:val="false"/>
          <w:i/>
          <w:color w:val="000000"/>
          <w:sz w:val="22"/>
        </w:rPr>
        <w:t xml:space="preserve">Existing ambulatory health care facilities. </w:t>
      </w:r>
      <w:r>
        <w:rPr>
          <w:rFonts w:ascii="Times New Roman" w:hAnsi="Times New Roman"/>
          <w:b w:val="false"/>
          <w:i w:val="false"/>
          <w:color w:val="000000"/>
          <w:sz w:val="22"/>
        </w:rPr>
        <w:t>NFPA 101, Life Safety Code, 2012 edition, Chapter 21, is adopted by reference as the fire safety rules for existing ambulatory health care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661—205.21</w:t>
      </w:r>
      <w:r>
        <w:rPr>
          <w:rFonts w:ascii="Times New Roman" w:hAnsi="Times New Roman"/>
          <w:b w:val="false"/>
          <w:i w:val="false"/>
          <w:color w:val="000000"/>
          <w:sz w:val="22"/>
        </w:rPr>
        <w:t xml:space="preserve"> to </w:t>
      </w:r>
      <w:r>
        <w:rPr>
          <w:rFonts w:ascii="Times New Roman" w:hAnsi="Times New Roman"/>
          <w:b/>
          <w:i w:val="false"/>
          <w:color w:val="000000"/>
          <w:sz w:val="22"/>
        </w:rPr>
        <w:t>205.24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661—205.25</w:t>
      </w:r>
      <w:r>
        <w:rPr>
          <w:rFonts w:ascii="Times New Roman" w:hAnsi="Times New Roman"/>
          <w:b/>
          <w:i w:val="false"/>
          <w:color w:val="000000"/>
          <w:sz w:val="22"/>
        </w:rPr>
        <w:t xml:space="preserve">(100) </w:t>
      </w:r>
      <w:r>
        <w:rPr>
          <w:rFonts w:ascii="Times New Roman" w:hAnsi="Times New Roman"/>
          <w:b/>
          <w:i w:val="false"/>
          <w:color w:val="000000"/>
          <w:sz w:val="22"/>
        </w:rPr>
        <w:t xml:space="preserve">Religious nonmedical health care institutions.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205.25(1)</w:t>
      </w:r>
      <w:r>
        <w:rPr>
          <w:rFonts w:ascii="Times New Roman" w:hAnsi="Times New Roman"/>
          <w:b w:val="false"/>
          <w:i w:val="false"/>
          <w:color w:val="000000"/>
          <w:sz w:val="22"/>
        </w:rPr>
        <w:t> </w:t>
      </w:r>
      <w:r>
        <w:rPr>
          <w:rFonts w:ascii="Times New Roman" w:hAnsi="Times New Roman"/>
          <w:b w:val="false"/>
          <w:i/>
          <w:color w:val="000000"/>
          <w:sz w:val="22"/>
        </w:rPr>
        <w:t xml:space="preserve">New religious nonmedical health care institutions. </w:t>
      </w:r>
      <w:r>
        <w:rPr>
          <w:rFonts w:ascii="Times New Roman" w:hAnsi="Times New Roman"/>
          <w:b w:val="false"/>
          <w:i w:val="false"/>
          <w:color w:val="000000"/>
          <w:sz w:val="22"/>
        </w:rPr>
        <w:t>NFPA 101, Life Safety Code, 2012 edition, Chapter 18, is adopted by reference as the fire safety rules for new religious nonmedical health care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205.25(2)</w:t>
      </w:r>
      <w:r>
        <w:rPr>
          <w:rFonts w:ascii="Times New Roman" w:hAnsi="Times New Roman"/>
          <w:b w:val="false"/>
          <w:i w:val="false"/>
          <w:color w:val="000000"/>
          <w:sz w:val="22"/>
        </w:rPr>
        <w:t> </w:t>
      </w:r>
      <w:r>
        <w:rPr>
          <w:rFonts w:ascii="Times New Roman" w:hAnsi="Times New Roman"/>
          <w:b w:val="false"/>
          <w:i/>
          <w:color w:val="000000"/>
          <w:sz w:val="22"/>
        </w:rPr>
        <w:t xml:space="preserve">Existing religious nonmedical health care institutions. </w:t>
      </w:r>
      <w:r>
        <w:rPr>
          <w:rFonts w:ascii="Times New Roman" w:hAnsi="Times New Roman"/>
          <w:b w:val="false"/>
          <w:i w:val="false"/>
          <w:color w:val="000000"/>
          <w:sz w:val="22"/>
        </w:rPr>
        <w:t>NFPA 101, Life Safety Code, 2012 edition, Chapter 19, is adopted by reference as the fire safety rules for existing religious nonmedical health care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3526C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100.35</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Parts 403, 416, 418, 482 and 483</w:t>
      </w:r>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661—205.26</w:t>
      </w:r>
      <w:r>
        <w:rPr>
          <w:rFonts w:ascii="Times New Roman" w:hAnsi="Times New Roman"/>
          <w:b w:val="false"/>
          <w:i w:val="false"/>
          <w:color w:val="000000"/>
          <w:sz w:val="22"/>
        </w:rPr>
        <w:t xml:space="preserve"> to </w:t>
      </w:r>
      <w:r>
        <w:rPr>
          <w:rFonts w:ascii="Times New Roman" w:hAnsi="Times New Roman"/>
          <w:b/>
          <w:i w:val="false"/>
          <w:color w:val="000000"/>
          <w:sz w:val="22"/>
        </w:rPr>
        <w:t>205.99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661—205.100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Residential care facilities.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center"/>
      </w:pPr>
      <w:r>
        <w:rPr>
          <w:rFonts w:ascii="Times New Roman" w:hAnsi="Times New Roman"/>
          <w:b w:val="false"/>
          <w:i w:val="false"/>
          <w:color w:val="000000"/>
          <w:sz w:val="21"/>
        </w:rPr>
        <w:t>[Filed 9/17/57; amended 10/9/57, 1/5/60]</w:t>
      </w:r>
    </w:p>
    <w:p>
      <w:pPr>
        <w:spacing w:before="0" w:after="0"/>
        <w:ind w:left="120"/>
        <w:jc w:val="center"/>
      </w:pPr>
      <w:r>
        <w:rPr>
          <w:rFonts w:ascii="Times New Roman" w:hAnsi="Times New Roman"/>
          <w:b w:val="false"/>
          <w:i w:val="false"/>
          <w:color w:val="000000"/>
          <w:sz w:val="21"/>
        </w:rPr>
        <w:t>[Filed 10/12/71; amended 12/31/73]</w:t>
      </w:r>
    </w:p>
    <w:p>
      <w:pPr>
        <w:spacing w:before="0" w:after="0"/>
        <w:ind w:left="120"/>
        <w:jc w:val="center"/>
      </w:pPr>
      <w:r>
        <w:rPr>
          <w:rFonts w:ascii="Times New Roman" w:hAnsi="Times New Roman"/>
          <w:b w:val="false"/>
          <w:i w:val="false"/>
          <w:color w:val="000000"/>
          <w:sz w:val="21"/>
        </w:rPr>
        <w:t>[Filed 4/4/77, Notice 9/22/76—published 4/20/77, effective 5/25/77]</w:t>
      </w:r>
    </w:p>
    <w:p>
      <w:pPr>
        <w:spacing w:before="0" w:after="0"/>
        <w:ind w:left="120"/>
        <w:jc w:val="center"/>
      </w:pPr>
      <w:r>
        <w:rPr>
          <w:rFonts w:ascii="Times New Roman" w:hAnsi="Times New Roman"/>
          <w:b w:val="false"/>
          <w:i w:val="false"/>
          <w:color w:val="000000"/>
          <w:sz w:val="21"/>
        </w:rPr>
        <w:t>[Filed 10/10/86, Notice 11/5/86—published 12/31/86, effective 2/4/87]</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2/2/89, Notice 12/28/88—published 2/22/89, effective 3/29/89]</w:t>
      </w:r>
    </w:p>
    <w:p>
      <w:pPr>
        <w:spacing w:before="0" w:after="0"/>
        <w:ind w:left="120"/>
        <w:jc w:val="center"/>
      </w:pPr>
      <w:r>
        <w:rPr>
          <w:rFonts w:ascii="Times New Roman" w:hAnsi="Times New Roman"/>
          <w:b w:val="false"/>
          <w:i w:val="false"/>
          <w:color w:val="000000"/>
          <w:sz w:val="21"/>
        </w:rPr>
        <w:t>[Filed 3/16/90, Notice 12/13/89—published 4/4/90, effective 5/9/90]</w:t>
      </w:r>
    </w:p>
    <w:p>
      <w:pPr>
        <w:spacing w:before="0" w:after="0"/>
        <w:ind w:left="120"/>
        <w:jc w:val="center"/>
      </w:pPr>
      <w:r>
        <w:rPr>
          <w:rFonts w:ascii="Times New Roman" w:hAnsi="Times New Roman"/>
          <w:b w:val="false"/>
          <w:i w:val="false"/>
          <w:color w:val="000000"/>
          <w:sz w:val="21"/>
        </w:rPr>
        <w:t>[Filed 4/24/92, Notice 2/19/92—published 5/13/92, effective 7/1/92]</w:t>
      </w:r>
    </w:p>
    <w:p>
      <w:pPr>
        <w:spacing w:before="0" w:after="0"/>
        <w:ind w:left="120"/>
        <w:jc w:val="center"/>
      </w:pPr>
      <w:r>
        <w:rPr>
          <w:rFonts w:ascii="Times New Roman" w:hAnsi="Times New Roman"/>
          <w:b w:val="false"/>
          <w:i w:val="false"/>
          <w:color w:val="000000"/>
          <w:sz w:val="21"/>
        </w:rPr>
        <w:t>[Filed 2/24/93, Notice 12/9/92—published 3/17/93, effective 5/1/93]</w:t>
      </w:r>
    </w:p>
    <w:p>
      <w:pPr>
        <w:spacing w:before="0" w:after="0"/>
        <w:ind w:left="120"/>
        <w:jc w:val="center"/>
      </w:pPr>
      <w:r>
        <w:rPr>
          <w:rFonts w:ascii="Times New Roman" w:hAnsi="Times New Roman"/>
          <w:b w:val="false"/>
          <w:i w:val="false"/>
          <w:color w:val="000000"/>
          <w:sz w:val="21"/>
        </w:rPr>
        <w:t>[Filed emergency 3/10/03—published 4/2/03, effective 3/11/03]</w:t>
      </w:r>
    </w:p>
    <w:p>
      <w:pPr>
        <w:spacing w:before="0" w:after="0"/>
        <w:ind w:left="120"/>
        <w:jc w:val="center"/>
      </w:pPr>
      <w:r>
        <w:rPr>
          <w:rFonts w:ascii="Times New Roman" w:hAnsi="Times New Roman"/>
          <w:b w:val="false"/>
          <w:i w:val="false"/>
          <w:color w:val="000000"/>
          <w:sz w:val="21"/>
        </w:rPr>
        <w:t>[Filed 10/7/03, Notice 5/28/03—published 10/29/03, effective 1/1/04]</w:t>
      </w:r>
    </w:p>
    <w:p>
      <w:pPr>
        <w:spacing w:before="0" w:after="0"/>
        <w:ind w:left="120"/>
        <w:jc w:val="center"/>
      </w:pPr>
      <w:r>
        <w:rPr>
          <w:rFonts w:ascii="Times New Roman" w:hAnsi="Times New Roman"/>
          <w:b w:val="false"/>
          <w:i w:val="false"/>
          <w:color w:val="000000"/>
          <w:sz w:val="21"/>
        </w:rPr>
        <w:t>[Filed emergency 3/25/04 after Notice 2/18/04—published 4/14/04, effective 4/1/04]</w:t>
      </w:r>
    </w:p>
    <w:p>
      <w:pPr>
        <w:spacing w:before="0" w:after="0"/>
        <w:ind w:left="120"/>
        <w:jc w:val="center"/>
      </w:pPr>
      <w:r>
        <w:rPr>
          <w:rFonts w:ascii="Times New Roman" w:hAnsi="Times New Roman"/>
          <w:b w:val="false"/>
          <w:i w:val="false"/>
          <w:color w:val="000000"/>
          <w:sz w:val="21"/>
        </w:rPr>
        <w:t>[Filed emergency 5/23/05 after Notice 4/27/05—published 6/22/05, effective 5/24/05]</w:t>
      </w:r>
    </w:p>
    <w:p>
      <w:pPr>
        <w:spacing w:before="0" w:after="0"/>
        <w:ind w:left="120"/>
        <w:jc w:val="center"/>
      </w:pPr>
      <w:r>
        <w:rPr>
          <w:rFonts w:ascii="Times New Roman" w:hAnsi="Times New Roman"/>
          <w:b w:val="false"/>
          <w:i w:val="false"/>
          <w:color w:val="000000"/>
          <w:sz w:val="21"/>
        </w:rPr>
        <w:t>[Filed ARC 8307B</w:t>
      </w:r>
      <w:r>
        <w:rPr>
          <w:rFonts w:ascii="Times New Roman" w:hAnsi="Times New Roman"/>
          <w:b w:val="false"/>
          <w:i w:val="false"/>
          <w:color w:val="000000"/>
          <w:sz w:val="21"/>
        </w:rPr>
        <w:t xml:space="preserve"> (Notice ARC 8156B,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3526C</w:t>
      </w:r>
      <w:r>
        <w:rPr>
          <w:rFonts w:ascii="Times New Roman" w:hAnsi="Times New Roman"/>
          <w:b w:val="false"/>
          <w:i w:val="false"/>
          <w:color w:val="000000"/>
          <w:sz w:val="21"/>
        </w:rPr>
        <w:t xml:space="preserve"> (Notice ARC 3411C, IAB 10/25/17)</w:t>
      </w:r>
      <w:r>
        <w:rPr>
          <w:rFonts w:ascii="Times New Roman" w:hAnsi="Times New Roman"/>
          <w:b w:val="false"/>
          <w:i w:val="false"/>
          <w:color w:val="000000"/>
          <w:sz w:val="21"/>
        </w:rPr>
        <w:t>, IAB 12/20/17, effective 1/24/18]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205.1.pdf" Type="http://schemas.openxmlformats.org/officeDocument/2006/relationships/hyperlink" Id="rId5"/>
    <Relationship TargetMode="External" Target="https://www.legis.iowa.gov/docs/iac/rule/661.205.25.pdf" Type="http://schemas.openxmlformats.org/officeDocument/2006/relationships/hyperlink" Id="rId6"/>
    <Relationship TargetMode="External" Target="https://www.legis.iowa.gov/docs/ico/chapter/135J.2.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135C.2.pdf" Type="http://schemas.openxmlformats.org/officeDocument/2006/relationships/hyperlink" Id="rId9"/>
    <Relationship TargetMode="External" Target="https://www.legis.iowa.gov/docs/ico/chapter/135C.6.pdf" Type="http://schemas.openxmlformats.org/officeDocument/2006/relationships/hyperlink" Id="rId10"/>
    <Relationship TargetMode="External" Target="https://www.legis.iowa.gov/docs/ico/chapter/100.35.pdf" Type="http://schemas.openxmlformats.org/officeDocument/2006/relationships/hyperlink" Id="rId11"/>
    <Relationship TargetMode="External" Target="https://www.legis.iowa.gov/docs/ico/chapter/135B.pdf" Type="http://schemas.openxmlformats.org/officeDocument/2006/relationships/hyperlink" Id="rId12"/>
    <Relationship TargetMode="External" Target="https://www.legis.iowa.gov/docs/ico/chapter/135C.pdf" Type="http://schemas.openxmlformats.org/officeDocument/2006/relationships/hyperlink" Id="rId13"/>
    <Relationship TargetMode="External" Target="https://www.legis.iowa.gov/docs/ico/chapter/135J.pdf" Type="http://schemas.openxmlformats.org/officeDocument/2006/relationships/hyperlink" Id="rId14"/>
    <Relationship TargetMode="External" Target="https://www.legis.iowa.gov/docs/ico/chapter/213C.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